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0" w:name="_Hlk151623808"/>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r>
      <w:r/>
    </w:p>
    <w:p>
      <w:pPr>
        <w:jc w:val="center"/>
        <w:rPr>
          <w:rFonts w:hint="eastAsia"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hint="eastAsia"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学生课桌椅、教师办公桌椅、宿舍床等家具（第二批）采购项目</w:t>
      </w:r>
      <w:r/>
    </w:p>
    <w:p>
      <w:pPr>
        <w:ind w:firstLine="1920"/>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JSZC-320282-XDFH-G2026-0011</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江苏省宜兴第一中学周铁分校</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采购代理机构</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eastAsia="zh-CN"/>
        </w:rPr>
        <w:t xml:space="preserve">江苏希地丰华项目管理集团有限公司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r/>
    </w:p>
    <w:p>
      <w:pPr>
        <w:rPr>
          <w:rStyle w:val="903"/>
          <w:rFonts w:hint="eastAsia"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903"/>
          <w:rFonts w:eastAsia="黑体"/>
          <w:bCs/>
          <w:color w:val="auto"/>
          <w:sz w:val="48"/>
          <w:highlight w:val="none"/>
        </w:rPr>
      </w:pPr>
      <w:r>
        <w:rPr>
          <w:rFonts w:eastAsia="黑体"/>
          <w:bCs/>
          <w:color w:val="auto"/>
          <w:sz w:val="48"/>
          <w:highlight w:val="none"/>
        </w:rPr>
      </w:r>
      <w:r/>
    </w:p>
    <w:p>
      <w:pPr>
        <w:jc w:val="center"/>
        <w:rPr>
          <w:rStyle w:val="903"/>
          <w:rFonts w:eastAsia="黑体"/>
          <w:bCs/>
          <w:color w:val="auto"/>
          <w:sz w:val="48"/>
          <w:highlight w:val="none"/>
        </w:rPr>
      </w:pPr>
      <w:r>
        <w:rPr>
          <w:rFonts w:eastAsia="黑体"/>
          <w:bCs/>
          <w:color w:val="auto"/>
          <w:sz w:val="48"/>
          <w:highlight w:val="none"/>
        </w:rPr>
      </w:r>
      <w:r/>
    </w:p>
    <w:p>
      <w:pPr>
        <w:jc w:val="center"/>
        <w:rPr>
          <w:rStyle w:val="903"/>
          <w:rFonts w:eastAsia="黑体"/>
          <w:bCs/>
          <w:color w:val="auto"/>
          <w:sz w:val="48"/>
          <w:highlight w:val="none"/>
        </w:rPr>
      </w:pPr>
      <w:r>
        <w:rPr>
          <w:rStyle w:val="903"/>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898"/>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_Toc14331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第一章 投标邀请函</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_Toc14331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8"/>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_Toc16916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第二章 投标人须知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_Toc16916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- 3 -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8"/>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_Toc5530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第三章 项目技术要求和有关说明</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_Toc5530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- 17 -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8"/>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_Toc17479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lang w:val="en-US" w:eastAsia="zh-CN"/>
        </w:rPr>
        <w:t xml:space="preserve">第四章 评标方法和标准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_Toc17479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2</w:t>
      </w:r>
      <w:r>
        <w:rPr>
          <w:rFonts w:hint="eastAsia" w:ascii="黑体" w:hAnsi="黑体" w:eastAsia="黑体" w:cs="黑体"/>
          <w:color w:val="auto"/>
          <w:sz w:val="32"/>
          <w:szCs w:val="32"/>
          <w:highlight w:val="none"/>
        </w:rPr>
        <w:t xml:space="preserve">9 -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8"/>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_Toc112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第五章 政府采购合同（格式）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_Toc112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34</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898"/>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_Toc26519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第六章 投标文件</w:t>
      </w:r>
      <w:r>
        <w:rPr>
          <w:rFonts w:hint="eastAsia" w:ascii="黑体" w:hAnsi="黑体" w:eastAsia="黑体" w:cs="黑体"/>
          <w:color w:val="auto"/>
          <w:sz w:val="32"/>
          <w:szCs w:val="32"/>
          <w:highlight w:val="none"/>
          <w:lang w:val="en-US" w:eastAsia="zh-CN"/>
        </w:rPr>
        <w:t xml:space="preserve">内容与格式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_Toc26519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lang w:val="en-US" w:eastAsia="zh-CN"/>
        </w:rPr>
        <w:t xml:space="preserve">44</w:t>
      </w:r>
      <w:r>
        <w:rPr>
          <w:rFonts w:hint="eastAsia" w:ascii="黑体" w:hAnsi="黑体" w:eastAsia="黑体" w:cs="黑体"/>
          <w:color w:val="auto"/>
          <w:sz w:val="32"/>
          <w:szCs w:val="32"/>
          <w:highlight w:val="none"/>
        </w:rPr>
        <w:t xml:space="preserve">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hint="eastAsia" w:ascii="黑体" w:hAnsi="黑体" w:eastAsia="黑体"/>
          <w:color w:val="auto"/>
          <w:sz w:val="36"/>
          <w:szCs w:val="36"/>
          <w:highlight w:val="none"/>
        </w:rPr>
        <w:outlineLvl w:val="0"/>
      </w:pPr>
      <w:r/>
      <w:bookmarkStart w:id="2" w:name="_Toc14331"/>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
    </w:p>
    <w:p>
      <w:pPr>
        <w:ind w:firstLine="480"/>
        <w:spacing w:line="500" w:lineRule="exact"/>
        <w:rPr>
          <w:rFonts w:hint="eastAsia" w:ascii="宋体" w:hAnsi="宋体" w:eastAsia="宋体"/>
          <w:bCs/>
          <w:color w:val="auto"/>
          <w:sz w:val="24"/>
          <w:szCs w:val="24"/>
          <w:highlight w:val="none"/>
          <w:lang w:eastAsia="zh-CN"/>
        </w:rPr>
      </w:pPr>
      <w:r>
        <w:rPr>
          <w:rFonts w:hint="eastAsia" w:ascii="宋体" w:hAnsi="宋体"/>
          <w:color w:val="auto"/>
          <w:sz w:val="24"/>
          <w:szCs w:val="28"/>
          <w:highlight w:val="none"/>
          <w:lang w:val="en-US" w:eastAsia="zh-CN"/>
        </w:rPr>
        <w:t xml:space="preserve">受江苏省宜兴第一中学周铁分校委托，江苏希地丰华项目管理集团有限公司就学生课桌椅、教师办公桌椅、宿舍床等家具（第二批）采购项目（</w:t>
      </w:r>
      <w:r>
        <w:rPr>
          <w:rFonts w:hint="eastAsia" w:ascii="宋体" w:hAnsi="宋体"/>
          <w:bCs/>
          <w:color w:val="auto"/>
          <w:sz w:val="24"/>
          <w:szCs w:val="24"/>
          <w:highlight w:val="none"/>
          <w:lang w:eastAsia="zh-CN"/>
        </w:rPr>
        <w:t xml:space="preserve">JSZC-320282-XDFH-G2026-0011</w:t>
      </w:r>
      <w:r>
        <w:rPr>
          <w:rFonts w:hint="eastAsia" w:ascii="宋体" w:hAnsi="宋体"/>
          <w:color w:val="auto"/>
          <w:sz w:val="24"/>
          <w:szCs w:val="28"/>
          <w:highlight w:val="none"/>
          <w:lang w:val="en-US" w:eastAsia="zh-CN"/>
        </w:rPr>
        <w:t xml:space="preserve">）进行公开招标采购</w:t>
      </w:r>
      <w:r>
        <w:rPr>
          <w:rFonts w:hint="eastAsia" w:ascii="宋体" w:hAnsi="宋体"/>
          <w:color w:val="auto"/>
          <w:sz w:val="24"/>
          <w:szCs w:val="28"/>
          <w:highlight w:val="none"/>
        </w:rPr>
        <w:t xml:space="preserve">，欢迎符合条件的供应商参与投标</w:t>
      </w:r>
      <w:r>
        <w:rPr>
          <w:rFonts w:hint="eastAsia" w:ascii="宋体" w:hAnsi="宋体"/>
          <w:color w:val="auto"/>
          <w:sz w:val="24"/>
          <w:szCs w:val="28"/>
          <w:highlight w:val="none"/>
          <w:lang w:eastAsia="zh-CN"/>
        </w:rPr>
        <w:t xml:space="preserve">。</w:t>
      </w:r>
      <w:r/>
    </w:p>
    <w:tbl>
      <w:tblPr>
        <w:tblStyle w:val="892"/>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382"/>
        <w:gridCol w:w="6526"/>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color w:val="auto"/>
                <w:sz w:val="24"/>
                <w:szCs w:val="24"/>
                <w:highlight w:val="none"/>
              </w:rPr>
            </w:pPr>
            <w:r/>
            <w:bookmarkStart w:id="6" w:name="OLE_LINK192"/>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学生课桌椅、教师办公桌椅、宿舍床等家具（第二批）采购项目</w:t>
            </w:r>
            <w:r>
              <w:rPr>
                <w:rFonts w:ascii="宋体" w:hAnsi="宋体"/>
                <w:bCs/>
                <w:color w:val="auto"/>
                <w:sz w:val="24"/>
                <w:szCs w:val="24"/>
                <w:highlight w:val="none"/>
              </w:rPr>
              <w:t xml:space="preserve">  </w:t>
            </w:r>
            <w:r/>
          </w:p>
          <w:p>
            <w:pPr>
              <w:numPr>
                <w:ilvl w:val="0"/>
                <w:numId w:val="0"/>
              </w:numPr>
              <w:jc w:val="both"/>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项目编号: </w:t>
            </w:r>
            <w:r>
              <w:rPr>
                <w:rFonts w:hint="eastAsia" w:ascii="宋体" w:hAnsi="宋体"/>
                <w:bCs/>
                <w:color w:val="auto"/>
                <w:sz w:val="24"/>
                <w:szCs w:val="24"/>
                <w:highlight w:val="none"/>
                <w:lang w:eastAsia="zh-CN"/>
              </w:rPr>
              <w:t xml:space="preserve">JSZC-320282-XDFH-G2026-0011</w:t>
            </w:r>
            <w:r>
              <w:rPr>
                <w:rFonts w:hint="eastAsia" w:ascii="宋体" w:hAnsi="宋体"/>
                <w:bCs/>
                <w:color w:val="auto"/>
                <w:sz w:val="24"/>
                <w:szCs w:val="24"/>
                <w:highlight w:val="none"/>
              </w:rPr>
              <w:t xml:space="preserve">                          </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采购方式：公开招标</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评标方法：综合评分法</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预算金额：134.594万元</w:t>
            </w:r>
            <w:r/>
          </w:p>
          <w:p>
            <w:pPr>
              <w:numPr>
                <w:ilvl w:val="0"/>
                <w:numId w:val="0"/>
              </w:numPr>
              <w:jc w:val="lef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最高限价：同预算金额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项目类型：货物类</w:t>
            </w:r>
            <w:r/>
          </w:p>
          <w:p>
            <w:pPr>
              <w:numPr>
                <w:ilvl w:val="0"/>
                <w:numId w:val="0"/>
              </w:num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核心产品：</w:t>
            </w:r>
            <w:r>
              <w:rPr>
                <w:rFonts w:hint="eastAsia" w:ascii="宋体" w:hAnsi="宋体" w:cs="宋体"/>
                <w:color w:val="auto"/>
                <w:sz w:val="24"/>
                <w:szCs w:val="24"/>
                <w:highlight w:val="none"/>
                <w:lang w:val="en-US" w:eastAsia="zh-CN"/>
              </w:rPr>
              <w:t xml:space="preserve">组合式学生床</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是否接受进口产品：不接受</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本项目不接受联合体，不接受分包。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906"/>
              <w:jc w:val="center"/>
              <w:spacing w:line="276" w:lineRule="auto"/>
              <w:rPr>
                <w:rFonts w:hint="eastAsia"/>
                <w:b/>
                <w:bCs/>
                <w:color w:val="auto"/>
                <w:highlight w:val="none"/>
                <w:lang w:val="zh-CN"/>
              </w:rPr>
            </w:pPr>
            <w:r/>
            <w:bookmarkStart w:id="8" w:name="OLE_LINK208"/>
            <w:r>
              <w:rPr>
                <w:rFonts w:hint="eastAsia"/>
                <w:b/>
                <w:bCs/>
                <w:color w:val="auto"/>
                <w:highlight w:val="none"/>
                <w:lang w:val="zh-CN"/>
              </w:rPr>
              <w:t xml:space="preserve">资格</w:t>
            </w:r>
            <w:bookmarkEnd w:id="8"/>
            <w:r/>
            <w:r/>
          </w:p>
          <w:p>
            <w:pPr>
              <w:pStyle w:val="906"/>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2.1中小企业政策：本项目专门面向中小企业</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lang w:eastAsia="zh-CN"/>
              </w:rPr>
              <w:t xml:space="preserve">；</w:t>
            </w:r>
            <w:r/>
          </w:p>
          <w:p>
            <w:pPr>
              <w:ind w:firstLine="240"/>
              <w:spacing w:line="3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2.2通用资格要求：在“信用中国”网站、中国政府采购网查询，无被列入失信被执行人、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、政府采购严重失信行为记录名单</w:t>
            </w:r>
            <w:r>
              <w:rPr>
                <w:rFonts w:hint="eastAsia" w:ascii="宋体" w:hAnsi="宋体" w:cs="宋体"/>
                <w:bCs/>
                <w:color w:val="auto"/>
                <w:sz w:val="24"/>
                <w:szCs w:val="24"/>
                <w:highlight w:val="none"/>
                <w:lang w:eastAsia="zh-CN"/>
              </w:rPr>
              <w:t xml:space="preserve">。</w:t>
            </w:r>
            <w:r/>
          </w:p>
          <w:p>
            <w:pPr>
              <w:spacing w:line="320" w:lineRule="exact"/>
              <w:rPr>
                <w:rFonts w:hint="eastAsia"/>
                <w:color w:val="auto"/>
                <w:highlight w:val="none"/>
                <w:lang w:val="zh-CN"/>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bookmarkEnd w:id="9"/>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vAlign w:val="top"/>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时间：本招标文件有效获取期限以本项目招标公告中规定的获取招标文件时间为准。</w:t>
            </w:r>
            <w:r/>
          </w:p>
          <w:p>
            <w:pPr>
              <w:jc w:val="left"/>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numPr>
                <w:ilvl w:val="0"/>
                <w:numId w:val="0"/>
              </w:numPr>
              <w:jc w:val="left"/>
              <w:rPr>
                <w:rFonts w:hint="eastAsia"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.售价：本项目招标文件免费。</w:t>
            </w:r>
            <w:bookmarkEnd w:id="7"/>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截止</w:t>
            </w:r>
            <w:r/>
          </w:p>
          <w:p>
            <w:pPr>
              <w:jc w:val="center"/>
              <w:rPr>
                <w:rFonts w:hint="default" w:ascii="宋体" w:hAnsi="宋体" w:eastAsia="宋体"/>
                <w:bCs/>
                <w:color w:val="auto"/>
                <w:sz w:val="24"/>
                <w:szCs w:val="24"/>
                <w:highlight w:val="none"/>
                <w:lang w:val="en-US" w:eastAsia="zh-CN"/>
              </w:rPr>
            </w:pPr>
            <w:r>
              <w:rPr>
                <w:rFonts w:hint="eastAsia" w:ascii="宋体" w:hAnsi="宋体"/>
                <w:b/>
                <w:color w:val="auto"/>
                <w:sz w:val="24"/>
                <w:szCs w:val="24"/>
                <w:highlight w:val="none"/>
                <w:lang w:val="en-US" w:eastAsia="zh-CN"/>
              </w:rPr>
              <w:t xml:space="preserve">时间</w:t>
            </w:r>
            <w:r/>
          </w:p>
        </w:tc>
        <w:tc>
          <w:tcPr>
            <w:gridSpan w:val="2"/>
            <w:tcW w:w="7908" w:type="dxa"/>
            <w:vAlign w:val="top"/>
            <w:textDirection w:val="lrTb"/>
            <w:noWrap w:val="false"/>
          </w:tcPr>
          <w:p>
            <w:pPr>
              <w:numPr>
                <w:ilvl w:val="0"/>
                <w:numId w:val="1"/>
              </w:numPr>
              <w:rPr>
                <w:rFonts w:hint="eastAsia" w:ascii="宋体" w:hAnsi="宋体" w:cs="宋体"/>
                <w:bCs/>
                <w:color w:val="auto"/>
                <w:sz w:val="24"/>
                <w:szCs w:val="21"/>
                <w:highlight w:val="none"/>
                <w:lang w:eastAsia="zh-CN"/>
              </w:rPr>
            </w:pPr>
            <w:r>
              <w:rPr>
                <w:rFonts w:hint="eastAsia" w:ascii="宋体" w:hAnsi="宋体" w:cs="宋体"/>
                <w:bCs/>
                <w:color w:val="auto"/>
                <w:sz w:val="24"/>
                <w:szCs w:val="21"/>
                <w:highlight w:val="none"/>
              </w:rPr>
              <w:t xml:space="preserve">提交投标文件截止</w:t>
            </w:r>
            <w:r>
              <w:rPr>
                <w:rFonts w:hint="eastAsia" w:ascii="宋体" w:hAnsi="宋体" w:cs="宋体"/>
                <w:bCs/>
                <w:color w:val="auto"/>
                <w:sz w:val="24"/>
                <w:szCs w:val="21"/>
                <w:highlight w:val="none"/>
                <w:lang w:val="en-US" w:eastAsia="zh-CN"/>
              </w:rPr>
              <w:t xml:space="preserve">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w:t>
            </w:r>
            <w:r>
              <w:rPr>
                <w:rFonts w:hint="eastAsia" w:ascii="宋体" w:hAnsi="宋体" w:cs="宋体"/>
                <w:bCs/>
                <w:color w:val="auto"/>
                <w:sz w:val="24"/>
                <w:szCs w:val="21"/>
                <w:highlight w:val="none"/>
                <w:lang w:val="en-US" w:eastAsia="zh-CN"/>
              </w:rPr>
              <w:t xml:space="preserve">）及</w:t>
            </w:r>
            <w:r>
              <w:rPr>
                <w:rFonts w:hint="eastAsia" w:ascii="宋体" w:hAnsi="宋体" w:cs="宋体"/>
                <w:bCs/>
                <w:color w:val="auto"/>
                <w:sz w:val="24"/>
                <w:szCs w:val="21"/>
                <w:highlight w:val="none"/>
              </w:rPr>
              <w:t xml:space="preserve">开标时间：详见本项目招标公告</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采购人</w:t>
            </w:r>
            <w:r>
              <w:rPr>
                <w:rFonts w:hint="eastAsia" w:ascii="宋体" w:hAnsi="宋体" w:cs="宋体"/>
                <w:bCs/>
                <w:color w:val="auto"/>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cs="宋体"/>
                <w:bCs/>
                <w:color w:val="auto"/>
                <w:sz w:val="24"/>
                <w:szCs w:val="21"/>
                <w:highlight w:val="none"/>
                <w:lang w:eastAsia="zh-CN"/>
              </w:rPr>
              <w:t xml:space="preserve">）</w:t>
            </w:r>
            <w:r/>
          </w:p>
          <w:p>
            <w:pPr>
              <w:numPr>
                <w:ilvl w:val="0"/>
                <w:numId w:val="0"/>
              </w:numPr>
              <w:rPr>
                <w:rFonts w:hint="eastAsia" w:ascii="宋体" w:hAnsi="宋体"/>
                <w:color w:val="auto"/>
                <w:sz w:val="24"/>
                <w:szCs w:val="24"/>
                <w:highlight w:val="none"/>
              </w:rPr>
            </w:pPr>
            <w:r>
              <w:rPr>
                <w:rFonts w:hint="eastAsia" w:ascii="宋体" w:hAnsi="宋体" w:cs="宋体"/>
                <w:bCs/>
                <w:color w:val="auto"/>
                <w:sz w:val="24"/>
                <w:szCs w:val="21"/>
                <w:highlight w:val="none"/>
                <w:lang w:val="en-US" w:eastAsia="zh-CN"/>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jc w:val="left"/>
              <w:rPr>
                <w:rFonts w:hint="eastAsia"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906"/>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906"/>
              <w:jc w:val="center"/>
              <w:rPr>
                <w:rFonts w:hint="eastAsia" w:eastAsia="宋体"/>
                <w:b/>
                <w:bCs/>
                <w:color w:val="auto"/>
                <w:szCs w:val="22"/>
                <w:highlight w:val="none"/>
                <w:lang w:val="en-US" w:eastAsia="zh-CN"/>
              </w:rPr>
            </w:pPr>
            <w:r>
              <w:rPr>
                <w:rFonts w:hint="eastAsia"/>
                <w:b/>
                <w:bCs/>
                <w:color w:val="auto"/>
                <w:szCs w:val="22"/>
                <w:highlight w:val="none"/>
                <w:lang w:val="en-US" w:eastAsia="zh-CN"/>
              </w:rPr>
              <w:t xml:space="preserve">限制</w:t>
            </w:r>
            <w:r/>
          </w:p>
          <w:p>
            <w:pPr>
              <w:pStyle w:val="906"/>
              <w:jc w:val="center"/>
              <w:rPr>
                <w:rFonts w:hint="eastAsia"/>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color w:val="auto"/>
                <w:sz w:val="24"/>
                <w:szCs w:val="21"/>
                <w:highlight w:val="none"/>
                <w:lang w:eastAsia="zh-CN"/>
              </w:rPr>
            </w:pPr>
            <w:r/>
            <w:bookmarkStart w:id="11" w:name="_Hlk127868748"/>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本项目采用远程不见面交易模式，</w:t>
            </w:r>
            <w:r>
              <w:rPr>
                <w:rFonts w:hint="eastAsia" w:ascii="宋体" w:hAnsi="宋体" w:cs="宋体"/>
                <w:bCs/>
                <w:color w:val="auto"/>
                <w:sz w:val="24"/>
                <w:szCs w:val="21"/>
                <w:highlight w:val="none"/>
                <w:lang w:val="en-US" w:eastAsia="zh-CN"/>
              </w:rPr>
              <w:t xml:space="preserve">登录</w:t>
            </w:r>
            <w:r>
              <w:rPr>
                <w:rFonts w:hint="eastAsia" w:ascii="宋体" w:hAnsi="宋体" w:cs="宋体"/>
                <w:bCs/>
                <w:color w:val="auto"/>
                <w:sz w:val="24"/>
                <w:szCs w:val="21"/>
                <w:highlight w:val="none"/>
              </w:rPr>
              <w:t xml:space="preserve">“苏采云”不见面交易系统</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通过相应硬件设备（摄像头、话筒、麦克风等）完成远程解密、开标唱标</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color w:val="auto"/>
                <w:sz w:val="24"/>
                <w:szCs w:val="21"/>
                <w:highlight w:val="none"/>
                <w:lang w:val="en-US" w:eastAsia="zh-CN"/>
              </w:rPr>
              <w:t xml:space="preserve">自行</w:t>
            </w:r>
            <w:r>
              <w:rPr>
                <w:rFonts w:hint="eastAsia" w:ascii="宋体" w:hAnsi="宋体" w:cs="宋体"/>
                <w:bCs/>
                <w:color w:val="auto"/>
                <w:sz w:val="24"/>
                <w:szCs w:val="21"/>
                <w:highlight w:val="none"/>
              </w:rPr>
              <w:t xml:space="preserve">承担</w:t>
            </w:r>
            <w:r>
              <w:rPr>
                <w:rFonts w:hint="eastAsia" w:ascii="宋体" w:hAnsi="宋体" w:cs="宋体"/>
                <w:bCs/>
                <w:color w:val="auto"/>
                <w:sz w:val="24"/>
                <w:szCs w:val="21"/>
                <w:highlight w:val="none"/>
                <w:lang w:eastAsia="zh-CN"/>
              </w:rPr>
              <w:t xml:space="preserve">。</w:t>
            </w:r>
            <w:bookmarkEnd w:id="11"/>
            <w:r/>
            <w:r/>
          </w:p>
          <w:p>
            <w:pPr>
              <w:rPr>
                <w:rFonts w:hint="eastAsia" w:ascii="宋体" w:hAnsi="宋体"/>
                <w:bCs/>
                <w:color w:val="auto"/>
                <w:sz w:val="24"/>
                <w:szCs w:val="24"/>
                <w:highlight w:val="none"/>
                <w:lang w:val="zh-CN"/>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color w:val="auto"/>
                <w:sz w:val="24"/>
                <w:szCs w:val="21"/>
                <w:highlight w:val="none"/>
                <w:lang w:val="en-US" w:eastAsia="zh-CN"/>
              </w:rPr>
              <w:t xml:space="preserve">采购人、采购代理机构及评标委员会</w:t>
            </w:r>
            <w:r>
              <w:rPr>
                <w:rFonts w:hint="eastAsia" w:ascii="宋体" w:hAnsi="宋体" w:cs="宋体"/>
                <w:bCs/>
                <w:color w:val="auto"/>
                <w:sz w:val="24"/>
                <w:szCs w:val="21"/>
                <w:highlight w:val="none"/>
              </w:rPr>
              <w:t xml:space="preserve">的相关询问。</w:t>
            </w:r>
            <w:r/>
          </w:p>
        </w:tc>
      </w:tr>
      <w:tr>
        <w:trPr>
          <w:jc w:val="center"/>
          <w:trHeight w:val="553"/>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单位名称：江苏省宜兴第一中学周铁分校</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单位地址：宜兴市周铁镇彭干村余家桥</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联系人：蒋先生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13921379620</w:t>
            </w:r>
            <w:r/>
          </w:p>
        </w:tc>
      </w:tr>
      <w:tr>
        <w:trPr>
          <w:jc w:val="center"/>
          <w:trHeight w:val="612"/>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采购代理机构</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单位名称：江苏希地丰华项目管理集团有限公司</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hAnsi="宋体"/>
                <w:bCs/>
                <w:color w:val="auto"/>
                <w:sz w:val="24"/>
                <w:szCs w:val="24"/>
                <w:highlight w:val="none"/>
              </w:rPr>
              <w:t xml:space="preserve">宜兴市新街街道龙潭西路239号</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联系电话：0510-80208160</w:t>
            </w:r>
            <w:r/>
          </w:p>
        </w:tc>
      </w:tr>
      <w:tr>
        <w:trPr>
          <w:jc w:val="center"/>
          <w:trHeight w:val="209"/>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526"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26"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_Toc16916"/>
      <w:r/>
      <w:bookmarkStart w:id="14" w:name="OLE_LINK38"/>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color w:val="auto"/>
          <w:sz w:val="24"/>
          <w:szCs w:val="24"/>
          <w:highlight w:val="none"/>
        </w:rPr>
      </w:pPr>
      <w:r/>
      <w:bookmarkStart w:id="15" w:name="_Hlk151624258"/>
      <w:r/>
      <w:bookmarkStart w:id="16" w:name="_Hlk151625314"/>
      <w:r/>
      <w:bookmarkStart w:id="17" w:name="_Hlk151624234"/>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8"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bCs/>
          <w:color w:val="auto"/>
          <w:sz w:val="24"/>
          <w:szCs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8"/>
      <w:r/>
      <w:bookmarkStart w:id="19" w:name="_Hlk160441159"/>
      <w:r>
        <w:rPr>
          <w:rFonts w:hint="eastAsia" w:ascii="宋体" w:hAnsi="宋体"/>
          <w:bCs/>
          <w:color w:val="auto"/>
          <w:sz w:val="24"/>
          <w:szCs w:val="24"/>
          <w:highlight w:val="none"/>
          <w:lang w:val="zh-CN"/>
        </w:rPr>
        <w:t xml:space="preserve"> </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本招标文件中所称的“以上”、“以来”、“以下”、“不少于”、“不超过”，包括本数；所称的“不足”、“低于”、“高于”、“少于”、“超过”，不包括本数。</w:t>
      </w:r>
      <w:bookmarkEnd w:id="19"/>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政府采购政策</w:t>
      </w:r>
      <w:bookmarkEnd w:id="15"/>
      <w:r/>
      <w:r/>
    </w:p>
    <w:p>
      <w:pPr>
        <w:ind w:firstLine="480"/>
        <w:jc w:val="left"/>
        <w:spacing w:line="360" w:lineRule="auto"/>
        <w:rPr>
          <w:rFonts w:ascii="宋体" w:hAnsi="宋体"/>
          <w:b/>
          <w:color w:val="auto"/>
          <w:sz w:val="28"/>
          <w:szCs w:val="28"/>
          <w:highlight w:val="none"/>
        </w:rPr>
      </w:pPr>
      <w:r>
        <w:rPr>
          <w:rFonts w:hint="eastAsia" w:ascii="宋体" w:hAnsi="宋体" w:cs="宋体"/>
          <w:color w:val="auto"/>
          <w:sz w:val="24"/>
          <w:highlight w:val="none"/>
        </w:rPr>
        <w:t xml:space="preserve">3.1 本国产品采购与进口产品审核管理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3.2 </w:t>
      </w:r>
      <w:r>
        <w:rPr>
          <w:rFonts w:hint="eastAsia" w:ascii="宋体" w:hAns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en-US" w:eastAsia="zh-CN"/>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color w:val="auto"/>
          <w:sz w:val="24"/>
          <w:szCs w:val="24"/>
          <w:highlight w:val="none"/>
          <w:u w:val="single"/>
          <w:lang w:val="zh-CN"/>
        </w:rPr>
        <w:t xml:space="preserve">本项目中如有涉及强制采购产品的，投标人须按照上述要求提供相关产品的证明材料，否则投标无效。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3.4 </w:t>
      </w:r>
      <w:r>
        <w:rPr>
          <w:rFonts w:hint="eastAsia" w:ascii="宋体" w:hAnsi="宋体"/>
          <w:bCs/>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3.5 </w:t>
      </w:r>
      <w:r>
        <w:rPr>
          <w:rFonts w:hint="eastAsia" w:ascii="宋体" w:hAnsi="宋体"/>
          <w:bCs/>
          <w:color w:val="auto"/>
          <w:sz w:val="24"/>
          <w:szCs w:val="24"/>
          <w:highlight w:val="none"/>
        </w:rPr>
        <w:t xml:space="preserve">本项目中如有涉及数据库、操作系</w:t>
      </w:r>
      <w:r>
        <w:rPr>
          <w:rFonts w:hint="eastAsia" w:ascii="宋体" w:hAns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.2在政府采购活动中，供应商提供的</w:t>
      </w:r>
      <w:r>
        <w:rPr>
          <w:rFonts w:hint="eastAsia" w:ascii="宋体" w:hAnsi="宋体"/>
          <w:bCs/>
          <w:color w:val="auto"/>
          <w:sz w:val="24"/>
          <w:szCs w:val="24"/>
          <w:highlight w:val="none"/>
          <w:lang w:val="en-US" w:eastAsia="zh-CN"/>
        </w:rPr>
        <w:t xml:space="preserve">货物</w:t>
      </w:r>
      <w:r>
        <w:rPr>
          <w:rFonts w:hint="eastAsia" w:ascii="宋体" w:hAnsi="宋体"/>
          <w:bCs/>
          <w:color w:val="auto"/>
          <w:sz w:val="24"/>
          <w:szCs w:val="24"/>
          <w:highlight w:val="none"/>
        </w:rPr>
        <w:t xml:space="preserve">符合下列情形的，享受中小企业扶持政策：</w:t>
      </w:r>
      <w:r>
        <w:rPr>
          <w:rFonts w:hint="eastAsia" w:ascii="宋体" w:hAnsi="宋体" w:cs="宋体"/>
          <w:bCs/>
          <w:color w:val="auto"/>
          <w:sz w:val="24"/>
          <w:highlight w:val="none"/>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auto"/>
          <w:sz w:val="24"/>
          <w:highlight w:val="none"/>
        </w:rPr>
        <w:t xml:space="preserve">根据采购项目类型，若为货物类项目，只对货物的制造商是否为中小企业进行认定，</w:t>
      </w:r>
      <w:r>
        <w:rPr>
          <w:rFonts w:hint="eastAsia" w:ascii="宋体" w:hAnsi="宋体" w:cs="宋体"/>
          <w:b/>
          <w:bCs w:val="0"/>
          <w:color w:val="auto"/>
          <w:sz w:val="24"/>
          <w:highlight w:val="none"/>
        </w:rPr>
        <w:t xml:space="preserve">不再对投标人提供的配套服务作出要求</w:t>
      </w:r>
      <w:r>
        <w:rPr>
          <w:rFonts w:hint="eastAsia" w:ascii="宋体" w:hAnsi="宋体" w:cs="宋体"/>
          <w:bCs/>
          <w:color w:val="auto"/>
          <w:sz w:val="24"/>
          <w:highlight w:val="none"/>
        </w:rPr>
        <w:t xml:space="preserve">。</w:t>
      </w:r>
      <w:bookmarkEnd w:id="20"/>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1"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21"/>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color w:val="auto"/>
          <w:sz w:val="24"/>
          <w:szCs w:val="24"/>
          <w:highlight w:val="none"/>
          <w:lang w:val="en-US" w:eastAsia="zh-CN"/>
        </w:rPr>
        <w:t xml:space="preserve">包括</w:t>
      </w:r>
      <w:r>
        <w:rPr>
          <w:rFonts w:hint="eastAsia" w:ascii="宋体" w:hAnsi="宋体"/>
          <w:bCs/>
          <w:color w:val="auto"/>
          <w:sz w:val="24"/>
          <w:szCs w:val="24"/>
          <w:highlight w:val="none"/>
        </w:rPr>
        <w:t xml:space="preserve">《中小企业声明函》或《残疾人福利性单位声明函》或监狱企业的证明文件</w:t>
      </w:r>
      <w:bookmarkStart w:id="22" w:name="_Hlk163807769"/>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对提供《中小企业声明函》的投标人，应按照《中小企业声明函》格式准确完整填写相关内容，</w:t>
      </w:r>
      <w:bookmarkStart w:id="23" w:name="_Hlk160697267"/>
      <w:r>
        <w:rPr>
          <w:rFonts w:hint="eastAsia" w:ascii="宋体" w:hAnsi="宋体"/>
          <w:bCs/>
          <w:color w:val="auto"/>
          <w:sz w:val="24"/>
          <w:szCs w:val="24"/>
          <w:highlight w:val="none"/>
        </w:rPr>
        <w:t xml:space="preserve">并明确企业类型（中型、小型或微型），否则中小企业声明函无效。</w:t>
      </w:r>
      <w:bookmarkEnd w:id="22"/>
      <w:r/>
      <w:bookmarkEnd w:id="23"/>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对提供《残疾人福利性单位声明函》的投标人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符合《关于促进残疾人就业政府采购政策的通知》（财库〔2017〕141号）规定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rPr>
        <w:t xml:space="preserve">对提供由省级以上监狱管理局、戒毒管理局（含新疆生产建设兵团）出具的属于监狱企业证明文件的投标人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符合《关于政府采购支持监狱企业发展有关问题的通知》（财库〔2014〕68号）规定，</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若投标人同时为小微企业、残疾人福利性单位或监狱企业，</w:t>
      </w:r>
      <w:bookmarkStart w:id="24" w:name="_Hlk159418699"/>
      <w:r>
        <w:rPr>
          <w:rFonts w:hint="eastAsia" w:ascii="宋体" w:hAnsi="宋体"/>
          <w:b/>
          <w:bCs w:val="0"/>
          <w:color w:val="auto"/>
          <w:sz w:val="24"/>
          <w:szCs w:val="24"/>
          <w:highlight w:val="none"/>
        </w:rPr>
        <w:t xml:space="preserve">只享受一次针对小微企业的价格优惠。</w:t>
      </w:r>
      <w:bookmarkEnd w:id="24"/>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bookmarkEnd w:id="16"/>
      <w:r/>
      <w:bookmarkEnd w:id="17"/>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投标费用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spacing w:line="500" w:lineRule="exact"/>
        <w:rPr>
          <w:rFonts w:ascii="宋体" w:hAnsi="宋体"/>
          <w:color w:val="auto"/>
          <w:sz w:val="24"/>
          <w:highlight w:val="none"/>
          <w:u w:val="single"/>
        </w:rPr>
      </w:pPr>
      <w:r/>
      <w:bookmarkStart w:id="25" w:name="OLE_LINK88"/>
      <w:r/>
      <w:bookmarkStart w:id="26" w:name="OLE_LINK107"/>
      <w:r>
        <w:rPr>
          <w:rFonts w:hint="eastAsia" w:ascii="宋体" w:hAnsi="宋体"/>
          <w:bCs/>
          <w:color w:val="auto"/>
          <w:sz w:val="24"/>
          <w:szCs w:val="24"/>
          <w:highlight w:val="none"/>
        </w:rPr>
        <w:t xml:space="preserve">4.2 </w:t>
      </w:r>
      <w:bookmarkEnd w:id="25"/>
      <w:r/>
      <w:bookmarkEnd w:id="26"/>
      <w:r>
        <w:rPr>
          <w:rFonts w:hint="eastAsia" w:ascii="宋体" w:hAnsi="宋体"/>
          <w:b/>
          <w:color w:val="auto"/>
          <w:sz w:val="24"/>
          <w:szCs w:val="24"/>
          <w:highlight w:val="none"/>
        </w:rPr>
        <w:t xml:space="preserve">本次代理采购服务费</w:t>
      </w:r>
      <w:r>
        <w:rPr>
          <w:rFonts w:hint="eastAsia" w:ascii="宋体" w:hAnsi="宋体"/>
          <w:b/>
          <w:color w:val="auto"/>
          <w:sz w:val="24"/>
          <w:szCs w:val="24"/>
          <w:highlight w:val="none"/>
          <w:lang w:eastAsia="zh-CN"/>
        </w:rPr>
        <w:t xml:space="preserve">：</w:t>
      </w:r>
      <w:r>
        <w:rPr>
          <w:rFonts w:hint="eastAsia" w:ascii="宋体" w:hAnsi="宋体"/>
          <w:color w:val="auto"/>
          <w:sz w:val="24"/>
          <w:highlight w:val="none"/>
          <w:u w:val="single"/>
        </w:rPr>
        <w:t xml:space="preserve">参照《招标代理服务收费标准》（见下表）按中标金额进行差额定率累进法计算的70%计取。</w:t>
      </w:r>
      <w:r>
        <w:rPr>
          <w:rFonts w:hint="eastAsia" w:ascii="宋体" w:hAnsi="宋体"/>
          <w:bCs/>
          <w:color w:val="auto"/>
          <w:sz w:val="24"/>
          <w:szCs w:val="24"/>
          <w:highlight w:val="none"/>
          <w:u w:val="single"/>
        </w:rPr>
        <w:t xml:space="preserve">投标人自行考虑在本次报价中，由中标人向代理机构一次性付清。</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jc w:val="center"/>
          <w:trHeight w:val="315"/>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服费务类率型</w:t>
            </w:r>
            <w:r/>
          </w:p>
          <w:p>
            <w:pPr>
              <w:jc w:val="center"/>
              <w:rPr>
                <w:color w:val="auto"/>
                <w:szCs w:val="21"/>
                <w:highlight w:val="none"/>
              </w:rPr>
            </w:pPr>
            <w:r>
              <w:rPr>
                <w:rFonts w:hint="eastAsia"/>
                <w:color w:val="auto"/>
                <w:szCs w:val="21"/>
                <w:highlight w:val="none"/>
              </w:rPr>
              <w:t xml:space="preserve">中标金额(万元)</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货物招标</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服务招标</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工程招标</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100以下</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1.0%</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100-500</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1.1%</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0.8%</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0.7%</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500-1000</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0.8%</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0.45%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0.55%</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1000-5000</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0.5%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0.25%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0.35%</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5000-10000</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0.25%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0.1%</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0.2%</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1亿~5亿</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0.05%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0.05%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0.05%</w:t>
            </w:r>
            <w:r/>
          </w:p>
        </w:tc>
      </w:tr>
    </w:tbl>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6、招标文件的组成</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7" w:name="OLE_LINK253"/>
      <w:r>
        <w:rPr>
          <w:rFonts w:hint="eastAsia" w:ascii="宋体" w:hAnsi="宋体"/>
          <w:bCs/>
          <w:color w:val="auto"/>
          <w:sz w:val="24"/>
          <w:szCs w:val="24"/>
          <w:highlight w:val="none"/>
        </w:rPr>
        <w:t xml:space="preserve">采购人或者</w:t>
      </w:r>
      <w:bookmarkEnd w:id="27"/>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联系解决。</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招标文件格式、说明不一致的，以</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6.4 </w:t>
      </w:r>
      <w:r>
        <w:rPr>
          <w:rFonts w:hint="eastAsia" w:ascii="宋体" w:hAnsi="宋体"/>
          <w:bCs/>
          <w:color w:val="auto"/>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采购人或者</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lang w:val="en-US" w:eastAsia="zh-CN"/>
        </w:rPr>
        <w:t xml:space="preserve">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lang w:val="en-US" w:eastAsia="zh-CN"/>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7.2 该</w:t>
      </w:r>
      <w:r>
        <w:rPr>
          <w:rFonts w:hint="eastAsia" w:ascii="宋体" w:hAnsi="宋体"/>
          <w:bCs/>
          <w:color w:val="auto"/>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28" w:name="OLE_LINK16"/>
      <w:r/>
      <w:bookmarkStart w:id="29" w:name="_Hlk151557699"/>
      <w:r>
        <w:rPr>
          <w:rFonts w:hint="eastAsia" w:ascii="宋体" w:hAnsi="宋体"/>
          <w:b/>
          <w:color w:val="auto"/>
          <w:sz w:val="30"/>
          <w:szCs w:val="30"/>
          <w:highlight w:val="none"/>
          <w:lang w:val="zh-CN"/>
        </w:rPr>
        <w:t xml:space="preserve">三、投标文件</w:t>
      </w:r>
      <w:bookmarkEnd w:id="28"/>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30" w:name="OLE_LINK62"/>
      <w:r/>
      <w:bookmarkStart w:id="31" w:name="OLE_LINK20"/>
      <w:r/>
      <w:bookmarkStart w:id="32" w:name="OLE_LINK51"/>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、投标文件的组成</w:t>
      </w:r>
      <w:bookmarkEnd w:id="29"/>
      <w:r/>
      <w:bookmarkEnd w:id="30"/>
      <w:r/>
      <w:bookmarkEnd w:id="31"/>
      <w:r/>
      <w:bookmarkEnd w:id="32"/>
      <w:r/>
      <w:r/>
    </w:p>
    <w:p>
      <w:pPr>
        <w:ind w:firstLine="480"/>
        <w:jc w:val="left"/>
        <w:keepLines w:val="0"/>
        <w:keepNext w:val="0"/>
        <w:pageBreakBefore w:val="0"/>
        <w:spacing w:line="360" w:lineRule="auto"/>
        <w:rPr>
          <w:rFonts w:hint="eastAsia" w:ascii="宋体" w:hAnsi="宋体"/>
          <w:color w:val="auto"/>
          <w:sz w:val="24"/>
          <w:highlight w:val="none"/>
          <w:lang w:val="en-US" w:eastAsia="zh-CN"/>
        </w:rPr>
      </w:pPr>
      <w:r/>
      <w:bookmarkStart w:id="33" w:name="OLE_LINK219"/>
      <w:r>
        <w:rPr>
          <w:rFonts w:hint="eastAsia" w:ascii="宋体" w:hAnsi="宋体"/>
          <w:bCs/>
          <w:color w:val="auto"/>
          <w:sz w:val="24"/>
          <w:szCs w:val="24"/>
          <w:highlight w:val="none"/>
          <w:lang w:val="en-US" w:eastAsia="zh-CN"/>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资格证明文件</w:t>
      </w:r>
      <w:r>
        <w:rPr>
          <w:rFonts w:hint="eastAsia" w:ascii="宋体" w:hAnsi="宋体"/>
          <w:color w:val="auto"/>
          <w:sz w:val="24"/>
          <w:highlight w:val="none"/>
          <w:lang w:val="en-US" w:eastAsia="zh-CN"/>
        </w:rPr>
        <w:t xml:space="preserve">及</w:t>
      </w:r>
      <w:r>
        <w:rPr>
          <w:rFonts w:hint="eastAsia" w:ascii="宋体" w:hAnsi="宋体"/>
          <w:color w:val="auto"/>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投标人所须提供的相关证明文件和要求以及投标文件的部分格式要求，详见</w:t>
      </w:r>
      <w:r>
        <w:rPr>
          <w:rFonts w:hint="eastAsia" w:ascii="宋体" w:hAnsi="宋体"/>
          <w:color w:val="auto"/>
          <w:sz w:val="24"/>
          <w:highlight w:val="none"/>
          <w:lang w:val="en-US" w:eastAsia="zh-CN"/>
        </w:rPr>
        <w:t xml:space="preserve">“第六章 投标文件内容与格式”</w:t>
      </w:r>
      <w:r>
        <w:rPr>
          <w:rFonts w:hint="eastAsia" w:ascii="宋体" w:hAnsi="宋体"/>
          <w:color w:val="auto"/>
          <w:sz w:val="24"/>
          <w:highlight w:val="none"/>
        </w:rPr>
        <w:t xml:space="preserve">。</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9</w:t>
      </w:r>
      <w:r>
        <w:rPr>
          <w:rFonts w:hint="eastAsia" w:ascii="宋体" w:hAnsi="宋体"/>
          <w:b/>
          <w:bCs w:val="0"/>
          <w:color w:val="auto"/>
          <w:sz w:val="28"/>
          <w:szCs w:val="28"/>
          <w:highlight w:val="none"/>
          <w:lang w:val="zh-CN"/>
        </w:rPr>
        <w:t xml:space="preserve">、</w:t>
      </w:r>
      <w:bookmarkStart w:id="34" w:name="_Toc19624"/>
      <w:r/>
      <w:bookmarkStart w:id="35" w:name="_Toc2248"/>
      <w:r/>
      <w:bookmarkStart w:id="36" w:name="_Toc520356155"/>
      <w:r/>
      <w:bookmarkStart w:id="37" w:name="_Toc515647770"/>
      <w:r/>
      <w:bookmarkStart w:id="38" w:name="_Toc23231"/>
      <w:r>
        <w:rPr>
          <w:rFonts w:hint="eastAsia" w:ascii="宋体" w:hAnsi="宋体"/>
          <w:b/>
          <w:bCs w:val="0"/>
          <w:color w:val="auto"/>
          <w:sz w:val="28"/>
          <w:szCs w:val="28"/>
          <w:highlight w:val="none"/>
          <w:lang w:val="zh-CN"/>
        </w:rPr>
        <w:t xml:space="preserve">投标报价</w:t>
      </w:r>
      <w:bookmarkEnd w:id="34"/>
      <w:r/>
      <w:bookmarkEnd w:id="35"/>
      <w:r/>
      <w:bookmarkEnd w:id="36"/>
      <w:r/>
      <w:bookmarkEnd w:id="37"/>
      <w:r/>
      <w:bookmarkEnd w:id="38"/>
      <w:r/>
      <w:bookmarkEnd w:id="33"/>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9" w:name="OLE_LINK204"/>
      <w:r>
        <w:rPr>
          <w:rFonts w:hint="eastAsia" w:ascii="宋体" w:hAnsi="宋体"/>
          <w:bCs/>
          <w:color w:val="auto"/>
          <w:sz w:val="24"/>
          <w:szCs w:val="24"/>
          <w:highlight w:val="none"/>
          <w:lang w:val="zh-CN"/>
        </w:rPr>
        <w:t xml:space="preserve">。</w:t>
      </w:r>
      <w:bookmarkEnd w:id="3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w:t>
      </w:r>
      <w:bookmarkStart w:id="40" w:name="OLE_LINK262"/>
      <w:r>
        <w:rPr>
          <w:rFonts w:hint="eastAsia" w:ascii="宋体" w:hAnsi="宋体"/>
          <w:bCs/>
          <w:color w:val="auto"/>
          <w:sz w:val="24"/>
          <w:szCs w:val="24"/>
          <w:highlight w:val="none"/>
          <w:lang w:val="zh-CN"/>
        </w:rPr>
        <w:t xml:space="preserve">投标报价应包含</w:t>
      </w:r>
      <w:bookmarkStart w:id="41" w:name="OLE_LINK250"/>
      <w:r>
        <w:rPr>
          <w:rFonts w:hint="eastAsia" w:ascii="宋体" w:hAnsi="宋体"/>
          <w:bCs/>
          <w:color w:val="auto"/>
          <w:sz w:val="24"/>
          <w:szCs w:val="24"/>
          <w:highlight w:val="none"/>
          <w:lang w:val="zh-CN"/>
        </w:rPr>
        <w:t xml:space="preserve">货物设计、制造、包装、仓储、运输</w:t>
      </w:r>
      <w:r>
        <w:rPr>
          <w:rFonts w:hint="eastAsia" w:ascii="宋体" w:hAnsi="宋体"/>
          <w:bCs/>
          <w:color w:val="auto"/>
          <w:sz w:val="24"/>
          <w:szCs w:val="24"/>
          <w:highlight w:val="none"/>
          <w:lang w:val="en-US" w:eastAsia="zh-CN"/>
        </w:rPr>
        <w:t xml:space="preserve">装卸</w:t>
      </w:r>
      <w:r>
        <w:rPr>
          <w:rFonts w:hint="eastAsia" w:ascii="宋体" w:hAnsi="宋体"/>
          <w:bCs/>
          <w:color w:val="auto"/>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40"/>
      <w:r/>
      <w:bookmarkEnd w:id="41"/>
      <w:r>
        <w:rPr>
          <w:rFonts w:hint="eastAsia" w:ascii="宋体" w:hAnsi="宋体"/>
          <w:bCs/>
          <w:color w:val="auto"/>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每种货物只能有一个投标报价。采购人不接受具有附加条件的报价。</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2" w:name="_Hlk131926068"/>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0</w:t>
      </w:r>
      <w:r>
        <w:rPr>
          <w:rFonts w:hint="eastAsia" w:ascii="宋体" w:hAnsi="宋体"/>
          <w:b/>
          <w:bCs w:val="0"/>
          <w:color w:val="auto"/>
          <w:sz w:val="28"/>
          <w:szCs w:val="28"/>
          <w:highlight w:val="none"/>
          <w:lang w:val="zh-CN"/>
        </w:rPr>
        <w:t xml:space="preserve">、投标文件的制作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bookmarkStart w:id="43" w:name="_Hlk141255734"/>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lang w:val="en-US" w:eastAsia="zh-CN"/>
        </w:rPr>
        <w:t xml:space="preserve">文件必须</w:t>
      </w:r>
      <w:r>
        <w:rPr>
          <w:rFonts w:ascii="宋体" w:hAnsi="宋体"/>
          <w:bCs/>
          <w:color w:val="auto"/>
          <w:sz w:val="24"/>
          <w:szCs w:val="24"/>
          <w:highlight w:val="none"/>
          <w:lang w:val="zh-CN"/>
        </w:rPr>
        <w:t xml:space="preserve">清晰完整、真实有效，</w:t>
      </w:r>
      <w:bookmarkStart w:id="44"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44"/>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bCs/>
          <w:color w:val="auto"/>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bookmarkEnd w:id="43"/>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5" w:name="_Hlk131926146"/>
      <w:r>
        <w:rPr>
          <w:rFonts w:hint="eastAsia" w:ascii="宋体" w:hAnsi="宋体"/>
          <w:b/>
          <w:bCs w:val="0"/>
          <w:color w:val="auto"/>
          <w:sz w:val="28"/>
          <w:szCs w:val="28"/>
          <w:highlight w:val="none"/>
          <w:lang w:val="en-US" w:eastAsia="zh-CN"/>
        </w:rPr>
        <w:t xml:space="preserve">11、</w:t>
      </w:r>
      <w:r>
        <w:rPr>
          <w:rFonts w:hint="eastAsia" w:ascii="宋体" w:hAnsi="宋体"/>
          <w:b/>
          <w:bCs w:val="0"/>
          <w:color w:val="auto"/>
          <w:sz w:val="28"/>
          <w:szCs w:val="28"/>
          <w:highlight w:val="none"/>
          <w:lang w:val="zh-CN"/>
        </w:rPr>
        <w:t xml:space="preserve">电子投标文件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val="en-US" w:eastAsia="zh-CN"/>
        </w:rPr>
        <w:t xml:space="preserve">江苏希地丰华项目管理集团有限公司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lang w:val="en-US" w:eastAsia="zh-CN"/>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color w:val="auto"/>
          <w:sz w:val="24"/>
          <w:szCs w:val="24"/>
          <w:highlight w:val="none"/>
        </w:rPr>
        <w:t xml:space="preserve">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11.2.2 </w:t>
      </w:r>
      <w:r>
        <w:rPr>
          <w:rFonts w:hint="eastAsia" w:ascii="宋体" w:hAnsi="宋体"/>
          <w:bCs/>
          <w:color w:val="auto"/>
          <w:sz w:val="24"/>
          <w:szCs w:val="24"/>
          <w:highlight w:val="none"/>
        </w:rPr>
        <w:t xml:space="preserve">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lang w:eastAsia="zh-CN"/>
        </w:rPr>
        <w:t xml:space="preserve">采购代理机构</w:t>
      </w:r>
      <w:r>
        <w:rPr>
          <w:rFonts w:ascii="宋体" w:hAnsi="宋体"/>
          <w:bCs/>
          <w:color w:val="auto"/>
          <w:sz w:val="24"/>
          <w:szCs w:val="24"/>
          <w:highlight w:val="none"/>
        </w:rPr>
        <w:t xml:space="preserve">不承担责任。 </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6" w:name="OLE_LINK124"/>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2</w:t>
      </w:r>
      <w:r>
        <w:rPr>
          <w:rFonts w:hint="eastAsia" w:ascii="宋体" w:hAnsi="宋体"/>
          <w:b/>
          <w:bCs w:val="0"/>
          <w:color w:val="auto"/>
          <w:sz w:val="28"/>
          <w:szCs w:val="28"/>
          <w:highlight w:val="none"/>
          <w:lang w:val="zh-CN"/>
        </w:rPr>
        <w:t xml:space="preserve">、投标文件的拒收</w:t>
      </w:r>
      <w:bookmarkEnd w:id="42"/>
      <w:r/>
      <w:bookmarkEnd w:id="45"/>
      <w:r/>
      <w:bookmarkEnd w:id="46"/>
      <w:r/>
      <w:r/>
    </w:p>
    <w:p>
      <w:pPr>
        <w:ind w:firstLine="480"/>
        <w:jc w:val="left"/>
        <w:keepLines w:val="0"/>
        <w:keepNext w:val="0"/>
        <w:pageBreakBefore w:val="0"/>
        <w:spacing w:line="360" w:lineRule="auto"/>
        <w:rPr>
          <w:rFonts w:ascii="宋体" w:hAnsi="宋体"/>
          <w:bCs/>
          <w:color w:val="auto"/>
          <w:sz w:val="24"/>
          <w:szCs w:val="24"/>
          <w:highlight w:val="none"/>
        </w:rPr>
      </w:pPr>
      <w:r/>
      <w:bookmarkStart w:id="47" w:name="OLE_LINK94"/>
      <w:r>
        <w:rPr>
          <w:rFonts w:hint="eastAsia" w:ascii="宋体" w:hAnsi="宋体"/>
          <w:bCs/>
          <w:color w:val="auto"/>
          <w:sz w:val="24"/>
          <w:szCs w:val="24"/>
          <w:highlight w:val="none"/>
          <w:lang w:val="en-US" w:eastAsia="zh-CN"/>
        </w:rPr>
        <w:t xml:space="preserve">12.1 </w:t>
      </w:r>
      <w:r>
        <w:rPr>
          <w:rFonts w:hint="eastAsia" w:ascii="宋体" w:hAnsi="宋体"/>
          <w:bCs/>
          <w:color w:val="auto"/>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、投标文件的真实性</w:t>
      </w:r>
      <w:bookmarkEnd w:id="47"/>
      <w:r/>
      <w:r/>
    </w:p>
    <w:p>
      <w:pPr>
        <w:ind w:firstLine="480"/>
        <w:jc w:val="left"/>
        <w:keepLines w:val="0"/>
        <w:keepNext w:val="0"/>
        <w:pageBreakBefore w:val="0"/>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.2 </w:t>
      </w:r>
      <w:bookmarkStart w:id="48" w:name="OLE_LINK227"/>
      <w:r>
        <w:rPr>
          <w:rFonts w:hint="eastAsia" w:ascii="宋体" w:hAnsi="宋体"/>
          <w:bCs/>
          <w:color w:val="auto"/>
          <w:sz w:val="24"/>
          <w:szCs w:val="28"/>
          <w:highlight w:val="none"/>
        </w:rPr>
        <w:t xml:space="preserve">如</w:t>
      </w:r>
      <w:bookmarkStart w:id="49" w:name="OLE_LINK45"/>
      <w:r>
        <w:rPr>
          <w:rFonts w:hint="eastAsia" w:ascii="宋体" w:hAnsi="宋体"/>
          <w:bCs/>
          <w:color w:val="auto"/>
          <w:sz w:val="24"/>
          <w:szCs w:val="28"/>
          <w:highlight w:val="none"/>
        </w:rPr>
        <w:t xml:space="preserve">采购人、</w:t>
      </w:r>
      <w:bookmarkEnd w:id="49"/>
      <w:r>
        <w:rPr>
          <w:rFonts w:hint="eastAsia" w:ascii="宋体" w:hAnsi="宋体"/>
          <w:bCs/>
          <w:color w:val="auto"/>
          <w:sz w:val="24"/>
          <w:szCs w:val="28"/>
          <w:highlight w:val="none"/>
          <w:lang w:eastAsia="zh-CN"/>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8"/>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、投标文件的有效期</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投标文件的有效期为投标截止之日起的</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天（含投标截止当日）。在特殊情况下，采购人、</w:t>
      </w:r>
      <w:r>
        <w:rPr>
          <w:rFonts w:hint="eastAsia" w:ascii="宋体" w:hAnsi="宋体"/>
          <w:bCs/>
          <w:color w:val="auto"/>
          <w:sz w:val="24"/>
          <w:szCs w:val="28"/>
          <w:highlight w:val="none"/>
          <w:lang w:eastAsia="zh-CN"/>
        </w:rPr>
        <w:t xml:space="preserve">采购代理机构</w:t>
      </w:r>
      <w:r>
        <w:rPr>
          <w:rFonts w:hint="eastAsia" w:ascii="宋体" w:hAnsi="宋体"/>
          <w:bCs/>
          <w:color w:val="auto"/>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投标截止时间后，采购人和</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对所有投标人的投标文件一律不予退还。</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6</w:t>
      </w:r>
      <w:r>
        <w:rPr>
          <w:rFonts w:hint="eastAsia" w:ascii="宋体" w:hAnsi="宋体"/>
          <w:b/>
          <w:bCs w:val="0"/>
          <w:color w:val="auto"/>
          <w:sz w:val="28"/>
          <w:szCs w:val="28"/>
          <w:highlight w:val="none"/>
          <w:lang w:val="zh-CN"/>
        </w:rPr>
        <w:t xml:space="preserve">、投标文件的</w:t>
      </w:r>
      <w:bookmarkStart w:id="50" w:name="OLE_LINK260"/>
      <w:r>
        <w:rPr>
          <w:rFonts w:hint="eastAsia" w:ascii="宋体" w:hAnsi="宋体"/>
          <w:b/>
          <w:bCs w:val="0"/>
          <w:color w:val="auto"/>
          <w:sz w:val="28"/>
          <w:szCs w:val="28"/>
          <w:highlight w:val="none"/>
          <w:lang w:val="zh-CN"/>
        </w:rPr>
        <w:t xml:space="preserve">撤回</w:t>
      </w:r>
      <w:bookmarkEnd w:id="50"/>
      <w:r>
        <w:rPr>
          <w:rFonts w:hint="eastAsia" w:ascii="宋体" w:hAnsi="宋体"/>
          <w:b/>
          <w:bCs w:val="0"/>
          <w:color w:val="auto"/>
          <w:sz w:val="28"/>
          <w:szCs w:val="28"/>
          <w:highlight w:val="none"/>
          <w:lang w:val="en-US" w:eastAsia="zh-CN"/>
        </w:rPr>
        <w:t xml:space="preserve">和</w:t>
      </w:r>
      <w:r>
        <w:rPr>
          <w:rFonts w:hint="eastAsia" w:ascii="宋体" w:hAnsi="宋体"/>
          <w:b/>
          <w:bCs w:val="0"/>
          <w:color w:val="auto"/>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电子投标文件的撤回</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w:t>
      </w:r>
      <w:bookmarkStart w:id="51" w:name="OLE_LINK228"/>
      <w:r>
        <w:rPr>
          <w:rFonts w:hint="eastAsia" w:ascii="宋体" w:hAnsi="宋体"/>
          <w:bCs/>
          <w:color w:val="auto"/>
          <w:sz w:val="24"/>
          <w:szCs w:val="24"/>
          <w:highlight w:val="none"/>
          <w:lang w:val="en-US" w:eastAsia="zh-CN"/>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szCs w:val="24"/>
          <w:highlight w:val="none"/>
          <w:lang w:eastAsia="zh-CN"/>
        </w:rPr>
        <w:t xml:space="preserve">：</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52" w:name="_Hlk128404679"/>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、评标委员会不接受</w:t>
      </w:r>
      <w:bookmarkEnd w:id="52"/>
      <w:r>
        <w:rPr>
          <w:rFonts w:hint="eastAsia" w:ascii="宋体" w:hAnsi="宋体"/>
          <w:bCs/>
          <w:color w:val="auto"/>
          <w:sz w:val="24"/>
          <w:szCs w:val="24"/>
          <w:highlight w:val="none"/>
        </w:rPr>
        <w:t xml:space="preserve">投标人主动对其投标文件做任何</w:t>
      </w:r>
      <w:bookmarkStart w:id="53" w:name="OLE_LINK54"/>
      <w:r>
        <w:rPr>
          <w:rFonts w:hint="eastAsia" w:ascii="宋体" w:hAnsi="宋体"/>
          <w:bCs/>
          <w:color w:val="auto"/>
          <w:sz w:val="24"/>
          <w:szCs w:val="24"/>
          <w:highlight w:val="none"/>
        </w:rPr>
        <w:t xml:space="preserve">补充、</w:t>
      </w:r>
      <w:bookmarkEnd w:id="53"/>
      <w:r>
        <w:rPr>
          <w:rFonts w:hint="eastAsia" w:ascii="宋体" w:hAnsi="宋体"/>
          <w:bCs/>
          <w:color w:val="auto"/>
          <w:sz w:val="24"/>
          <w:szCs w:val="24"/>
          <w:highlight w:val="none"/>
        </w:rPr>
        <w:t xml:space="preserve">修改</w:t>
      </w:r>
      <w:bookmarkEnd w:id="51"/>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szCs w:val="24"/>
          <w:highlight w:val="none"/>
          <w:lang w:val="en-US" w:eastAsia="zh-CN"/>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54" w:name="_Hlk160719794"/>
      <w:r>
        <w:rPr>
          <w:rFonts w:hint="eastAsia" w:ascii="宋体" w:hAnsi="宋体" w:cs="宋体"/>
          <w:bCs/>
          <w:color w:val="auto"/>
          <w:sz w:val="24"/>
          <w:szCs w:val="24"/>
          <w:highlight w:val="none"/>
        </w:rPr>
        <w:t xml:space="preserve">投标文件未按招标文件</w:t>
      </w:r>
      <w:bookmarkStart w:id="55" w:name="_Hlk160720909"/>
      <w:r>
        <w:rPr>
          <w:rFonts w:hint="eastAsia" w:ascii="宋体" w:hAnsi="宋体" w:cs="宋体"/>
          <w:bCs/>
          <w:color w:val="auto"/>
          <w:sz w:val="24"/>
          <w:szCs w:val="24"/>
          <w:highlight w:val="none"/>
        </w:rPr>
        <w:t xml:space="preserve">规定签署或盖章的；</w:t>
      </w:r>
      <w:bookmarkEnd w:id="54"/>
      <w:r/>
      <w:bookmarkEnd w:id="55"/>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lang w:val="en-US" w:eastAsia="zh-CN"/>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6"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6"/>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7" w:name="OLE_LINK137"/>
      <w:r>
        <w:rPr>
          <w:rFonts w:hint="eastAsia" w:ascii="宋体" w:hAnsi="宋体" w:cs="宋体"/>
          <w:bCs/>
          <w:color w:val="auto"/>
          <w:sz w:val="24"/>
          <w:szCs w:val="24"/>
          <w:highlight w:val="none"/>
          <w:lang w:val="zh-CN"/>
        </w:rPr>
        <w:t xml:space="preserve">（含虚假承诺）</w:t>
      </w:r>
      <w:bookmarkEnd w:id="57"/>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bCs/>
          <w:color w:val="auto"/>
          <w:sz w:val="24"/>
          <w:szCs w:val="24"/>
          <w:highlight w:val="none"/>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58" w:name="_Hlk162444294"/>
      <w:r>
        <w:rPr>
          <w:rFonts w:hint="eastAsia" w:ascii="宋体" w:hAnsi="宋体" w:cs="宋体"/>
          <w:bCs/>
          <w:color w:val="auto"/>
          <w:sz w:val="24"/>
          <w:szCs w:val="24"/>
          <w:highlight w:val="none"/>
          <w:lang w:val="zh-CN"/>
        </w:rPr>
        <w:t xml:space="preserve">投标文件内容不全</w:t>
      </w:r>
      <w:bookmarkStart w:id="59" w:name="_Hlk160521064"/>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lang w:val="en-US" w:eastAsia="zh-CN"/>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未通过符合性审查的</w:t>
      </w:r>
      <w:bookmarkEnd w:id="58"/>
      <w:r/>
      <w:bookmarkEnd w:id="59"/>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en-US" w:eastAsia="zh-CN"/>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bCs w:val="0"/>
          <w:color w:val="auto"/>
          <w:sz w:val="28"/>
          <w:szCs w:val="28"/>
          <w:highlight w:val="none"/>
          <w:lang w:val="zh-CN"/>
        </w:rPr>
        <w:t xml:space="preserve">（如有）</w:t>
      </w:r>
      <w:r/>
    </w:p>
    <w:p>
      <w:pPr>
        <w:jc w:val="left"/>
        <w:spacing w:line="360" w:lineRule="auto"/>
        <w:rPr>
          <w:rFonts w:hint="eastAsia" w:ascii="宋体" w:hAnsi="宋体"/>
          <w:bCs/>
          <w:color w:val="auto"/>
          <w:sz w:val="24"/>
          <w:szCs w:val="24"/>
          <w:highlight w:val="none"/>
        </w:rPr>
      </w:pPr>
      <w:r/>
      <w:bookmarkStart w:id="60" w:name="OLE_LINK96"/>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、联合体</w:t>
      </w:r>
      <w:bookmarkEnd w:id="6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61" w:name="OLE_LINK165"/>
      <w:r>
        <w:rPr>
          <w:rFonts w:hint="eastAsia" w:ascii="宋体" w:hAnsi="宋体"/>
          <w:bCs/>
          <w:color w:val="auto"/>
          <w:sz w:val="24"/>
          <w:szCs w:val="24"/>
          <w:highlight w:val="none"/>
          <w:lang w:val="en-US" w:eastAsia="zh-CN"/>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62" w:name="OLE_LINK199"/>
      <w:r>
        <w:rPr>
          <w:rFonts w:hint="eastAsia" w:ascii="宋体" w:hAnsi="宋体"/>
          <w:bCs/>
          <w:color w:val="auto"/>
          <w:sz w:val="24"/>
          <w:szCs w:val="24"/>
          <w:highlight w:val="none"/>
          <w:lang w:val="zh-CN"/>
        </w:rPr>
        <w:t xml:space="preserve">订联合体协议书</w:t>
      </w:r>
      <w:bookmarkEnd w:id="62"/>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61"/>
      <w:r/>
      <w:bookmarkStart w:id="63" w:name="OLE_LINK127"/>
      <w:r/>
      <w:bookmarkStart w:id="64" w:name="OLE_LINK63"/>
      <w:r/>
      <w:bookmarkStart w:id="65"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6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18.3 </w:t>
      </w:r>
      <w:r>
        <w:rPr>
          <w:rFonts w:hint="eastAsia" w:ascii="宋体" w:hAnsi="宋体"/>
          <w:bCs/>
          <w:color w:val="auto"/>
          <w:sz w:val="24"/>
          <w:szCs w:val="24"/>
          <w:highlight w:val="none"/>
          <w:lang w:val="zh-CN"/>
        </w:rPr>
        <w:t xml:space="preserve">以联合体形式参加投标的</w:t>
      </w:r>
      <w:bookmarkEnd w:id="64"/>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6"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5"/>
      <w:r/>
      <w:bookmarkEnd w:id="6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19、</w:t>
      </w:r>
      <w:r>
        <w:rPr>
          <w:rFonts w:hint="eastAsia" w:ascii="宋体" w:hAnsi="宋体"/>
          <w:b/>
          <w:bCs w:val="0"/>
          <w:color w:val="auto"/>
          <w:sz w:val="28"/>
          <w:szCs w:val="28"/>
          <w:highlight w:val="none"/>
          <w:lang w:val="zh-CN"/>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19.1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20、开标</w:t>
      </w:r>
      <w:r/>
    </w:p>
    <w:p>
      <w:pPr>
        <w:ind w:firstLine="480"/>
        <w:jc w:val="left"/>
        <w:spacing w:line="360" w:lineRule="auto"/>
        <w:rPr>
          <w:rFonts w:hint="eastAsia" w:ascii="宋体" w:hAnsi="宋体"/>
          <w:color w:val="auto"/>
          <w:sz w:val="24"/>
          <w:szCs w:val="24"/>
          <w:highlight w:val="none"/>
        </w:rPr>
      </w:pPr>
      <w:r/>
      <w:bookmarkStart w:id="67"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8"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2 </w:t>
      </w:r>
      <w:r>
        <w:rPr>
          <w:rFonts w:hint="eastAsia" w:ascii="宋体" w:hAnsi="宋体"/>
          <w:bCs/>
          <w:color w:val="auto"/>
          <w:sz w:val="24"/>
          <w:szCs w:val="24"/>
          <w:highlight w:val="none"/>
          <w:lang w:val="zh-CN"/>
        </w:rPr>
        <w:t xml:space="preserve">开标</w:t>
      </w:r>
      <w:bookmarkStart w:id="69" w:name="OLE_LINK130"/>
      <w:r>
        <w:rPr>
          <w:rFonts w:hint="eastAsia" w:ascii="宋体" w:hAnsi="宋体"/>
          <w:bCs/>
          <w:color w:val="auto"/>
          <w:sz w:val="24"/>
          <w:szCs w:val="24"/>
          <w:highlight w:val="none"/>
          <w:lang w:val="en-US" w:eastAsia="zh-CN"/>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9"/>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cs="宋体"/>
          <w:bCs/>
          <w:color w:val="auto"/>
          <w:sz w:val="24"/>
          <w:szCs w:val="21"/>
          <w:highlight w:val="none"/>
          <w:lang w:val="en-US" w:eastAsia="zh-CN"/>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w:t>
      </w:r>
      <w:r>
        <w:rPr>
          <w:rFonts w:hint="eastAsia" w:ascii="宋体" w:hAnsi="宋体" w:cs="宋体"/>
          <w:bCs/>
          <w:color w:val="auto"/>
          <w:sz w:val="24"/>
          <w:szCs w:val="21"/>
          <w:highlight w:val="none"/>
          <w:lang w:val="en-US" w:eastAsia="zh-CN"/>
        </w:rPr>
        <w:t xml:space="preserve">未能</w:t>
      </w:r>
      <w:r>
        <w:rPr>
          <w:rFonts w:hint="eastAsia" w:ascii="宋体" w:hAnsi="宋体" w:cs="宋体"/>
          <w:bCs/>
          <w:color w:val="auto"/>
          <w:sz w:val="24"/>
          <w:szCs w:val="21"/>
          <w:highlight w:val="none"/>
        </w:rPr>
        <w:t xml:space="preserve">在规定时间内</w:t>
      </w:r>
      <w:r>
        <w:rPr>
          <w:rFonts w:hint="eastAsia" w:ascii="宋体" w:hAnsi="宋体" w:cs="宋体"/>
          <w:bCs/>
          <w:color w:val="auto"/>
          <w:sz w:val="24"/>
          <w:szCs w:val="21"/>
          <w:highlight w:val="none"/>
          <w:lang w:val="en-US" w:eastAsia="zh-CN"/>
        </w:rPr>
        <w:t xml:space="preserve">完成</w:t>
      </w:r>
      <w:r>
        <w:rPr>
          <w:rFonts w:hint="eastAsia" w:ascii="宋体" w:hAnsi="宋体" w:cs="宋体"/>
          <w:bCs/>
          <w:color w:val="auto"/>
          <w:sz w:val="24"/>
          <w:szCs w:val="21"/>
          <w:highlight w:val="none"/>
        </w:rPr>
        <w:t xml:space="preserve">解密</w:t>
      </w:r>
      <w:r>
        <w:rPr>
          <w:rFonts w:hint="eastAsia" w:ascii="宋体" w:hAnsi="宋体" w:cs="宋体"/>
          <w:bCs/>
          <w:color w:val="auto"/>
          <w:sz w:val="24"/>
          <w:szCs w:val="21"/>
          <w:highlight w:val="none"/>
          <w:lang w:eastAsia="zh-CN"/>
        </w:rPr>
        <w:t xml:space="preserve">的</w:t>
      </w:r>
      <w:r>
        <w:rPr>
          <w:rFonts w:hint="eastAsia" w:ascii="宋体" w:hAnsi="宋体" w:cs="宋体"/>
          <w:bCs/>
          <w:color w:val="auto"/>
          <w:sz w:val="24"/>
          <w:szCs w:val="21"/>
          <w:highlight w:val="none"/>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color w:val="auto"/>
          <w:sz w:val="24"/>
          <w:szCs w:val="21"/>
          <w:highlight w:val="none"/>
          <w:lang w:eastAsia="zh-CN"/>
        </w:rPr>
        <w:t xml:space="preserve">。</w:t>
      </w:r>
      <w:bookmarkEnd w:id="67"/>
      <w:r/>
      <w:bookmarkEnd w:id="68"/>
      <w:r/>
      <w:r/>
    </w:p>
    <w:p>
      <w:pPr>
        <w:jc w:val="left"/>
        <w:spacing w:line="360" w:lineRule="auto"/>
        <w:rPr>
          <w:rFonts w:hint="eastAsia" w:ascii="宋体" w:hAnsi="宋体"/>
          <w:b/>
          <w:bCs w:val="0"/>
          <w:color w:val="auto"/>
          <w:sz w:val="28"/>
          <w:szCs w:val="28"/>
          <w:highlight w:val="none"/>
          <w:lang w:val="zh-CN"/>
        </w:rPr>
      </w:pPr>
      <w:r/>
      <w:bookmarkStart w:id="70" w:name="OLE_LINK18"/>
      <w:r>
        <w:rPr>
          <w:rFonts w:hint="eastAsia" w:ascii="宋体" w:hAnsi="宋体"/>
          <w:b/>
          <w:bCs w:val="0"/>
          <w:color w:val="auto"/>
          <w:sz w:val="28"/>
          <w:szCs w:val="28"/>
          <w:highlight w:val="none"/>
          <w:lang w:val="zh-CN"/>
        </w:rPr>
        <w:t xml:space="preserve">21、资格审查</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highlight w:val="none"/>
          <w:lang w:val="en-US" w:eastAsia="zh-CN"/>
        </w:rPr>
        <w:t xml:space="preserve">21.2 </w:t>
      </w: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bCs/>
          <w:color w:val="auto"/>
          <w:sz w:val="24"/>
          <w:highlight w:val="none"/>
          <w:lang w:eastAsia="zh-CN"/>
        </w:rPr>
        <w:t xml:space="preserve">，</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22.2 </w:t>
      </w:r>
      <w:bookmarkStart w:id="71"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71"/>
      <w:r>
        <w:rPr>
          <w:rFonts w:hint="eastAsia" w:ascii="宋体" w:hAnsi="宋体"/>
          <w:bCs/>
          <w:color w:val="auto"/>
          <w:sz w:val="24"/>
          <w:highlight w:val="none"/>
        </w:rPr>
        <w:t xml:space="preserve">从投标文件的有效性、完整性和对招标文件的响应程度进行审查，以确定是否对招标文件的实质性要求作出响应</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22.3 </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注：同时出现两种以上不一致的，按照前款规定的顺序修正。</w:t>
      </w:r>
      <w:r>
        <w:rPr>
          <w:rFonts w:hint="eastAsia" w:ascii="宋体" w:hAnsi="宋体"/>
          <w:bCs/>
          <w:color w:val="auto"/>
          <w:sz w:val="24"/>
          <w:highlight w:val="none"/>
          <w:lang w:val="en-US" w:eastAsia="zh-CN"/>
        </w:rPr>
        <w:t xml:space="preserve">评标委员会</w:t>
      </w:r>
      <w:r>
        <w:rPr>
          <w:rFonts w:hint="eastAsia" w:ascii="宋体" w:hAnsi="宋体"/>
          <w:bCs/>
          <w:color w:val="auto"/>
          <w:sz w:val="24"/>
          <w:highlight w:val="none"/>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 澄清有关问题。</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22.4.1 </w:t>
      </w:r>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22.4.2 </w:t>
      </w:r>
      <w:r>
        <w:rPr>
          <w:rFonts w:hint="eastAsia" w:ascii="宋体" w:hAnsi="宋体"/>
          <w:bCs/>
          <w:color w:val="auto"/>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22.4.3 </w:t>
      </w:r>
      <w:r>
        <w:rPr>
          <w:rFonts w:hint="eastAsia" w:ascii="宋体" w:hAnsi="宋体"/>
          <w:bCs/>
          <w:color w:val="auto"/>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23、评标过程的保密与公正</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23.3</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70"/>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24、</w:t>
      </w:r>
      <w:r>
        <w:rPr>
          <w:rFonts w:hint="eastAsia" w:ascii="宋体" w:hAnsi="宋体"/>
          <w:b/>
          <w:bCs w:val="0"/>
          <w:color w:val="auto"/>
          <w:sz w:val="28"/>
          <w:szCs w:val="28"/>
          <w:highlight w:val="none"/>
          <w:lang w:val="zh-CN"/>
        </w:rPr>
        <w:t xml:space="preserve">定标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24.1 </w:t>
      </w:r>
      <w:r>
        <w:rPr>
          <w:rFonts w:hint="eastAsia" w:ascii="宋体" w:hAnsi="宋体"/>
          <w:bCs/>
          <w:color w:val="auto"/>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章规定。</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lang w:val="en-US" w:eastAsia="zh-CN"/>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bookmarkStart w:id="72"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 </w:t>
      </w: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将在“江苏政府采购网”发布中标公告，公告期限为1个工作日。</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24.5 </w:t>
      </w:r>
      <w:r>
        <w:rPr>
          <w:rFonts w:hint="eastAsia" w:ascii="宋体" w:hAnsi="宋体" w:cs="宋体"/>
          <w:bCs/>
          <w:color w:val="auto"/>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rPr>
          <w:rFonts w:hint="eastAsia" w:ascii="宋体" w:hAnsi="宋体" w:cs="宋体"/>
          <w:bCs/>
          <w:color w:val="auto"/>
          <w:sz w:val="24"/>
          <w:szCs w:val="24"/>
          <w:highlight w:val="none"/>
          <w:lang w:eastAsia="zh-CN"/>
        </w:rPr>
        <w:t xml:space="preserve">。</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25、废标的确认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rPr>
          <w:rFonts w:hint="eastAsia" w:ascii="宋体" w:hAnsi="宋体"/>
          <w:bCs/>
          <w:color w:val="auto"/>
          <w:sz w:val="24"/>
          <w:highlight w:val="none"/>
          <w:lang w:eastAsia="zh-CN"/>
        </w:rPr>
        <w:t xml:space="preserve">。</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hint="eastAsia" w:ascii="宋体" w:hAnsi="宋体"/>
          <w:bCs/>
          <w:color w:val="auto"/>
          <w:sz w:val="24"/>
          <w:szCs w:val="24"/>
          <w:highlight w:val="none"/>
          <w:lang w:val="zh-CN"/>
        </w:rPr>
      </w:pPr>
      <w:r>
        <w:rPr>
          <w:rFonts w:hint="eastAsia" w:ascii="宋体" w:hAnsi="宋体"/>
          <w:b/>
          <w:bCs w:val="0"/>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27、签订合同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lang w:val="zh-CN"/>
        </w:rPr>
      </w:pPr>
      <w:r/>
      <w:bookmarkStart w:id="73" w:name="OLE_LINK5"/>
      <w:r>
        <w:rPr>
          <w:rFonts w:hint="eastAsia" w:ascii="宋体" w:hAnsi="宋体"/>
          <w:bCs/>
          <w:color w:val="auto"/>
          <w:sz w:val="24"/>
          <w:szCs w:val="24"/>
          <w:highlight w:val="none"/>
          <w:lang w:val="en-US" w:eastAsia="zh-CN"/>
        </w:rPr>
        <w:t xml:space="preserve">27.5</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4" w:name="OLE_LINK2"/>
      <w:r>
        <w:rPr>
          <w:rFonts w:hint="eastAsia" w:ascii="宋体" w:hAnsi="宋体"/>
          <w:bCs/>
          <w:color w:val="auto"/>
          <w:sz w:val="24"/>
          <w:szCs w:val="24"/>
          <w:highlight w:val="none"/>
          <w:lang w:val="zh-CN"/>
        </w:rPr>
        <w:t xml:space="preserve">。</w:t>
      </w:r>
      <w:bookmarkEnd w:id="73"/>
      <w:r/>
      <w:bookmarkEnd w:id="7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28、</w:t>
      </w:r>
      <w:r>
        <w:rPr>
          <w:rFonts w:hint="eastAsia" w:ascii="宋体" w:hAnsi="宋体"/>
          <w:b/>
          <w:bCs w:val="0"/>
          <w:color w:val="auto"/>
          <w:sz w:val="28"/>
          <w:szCs w:val="28"/>
          <w:highlight w:val="none"/>
          <w:lang w:val="zh-CN"/>
        </w:rPr>
        <w:t xml:space="preserve">“政采贷”</w:t>
      </w:r>
      <w:r>
        <w:rPr>
          <w:rFonts w:hint="eastAsia" w:ascii="宋体" w:hAnsi="宋体"/>
          <w:b/>
          <w:bCs w:val="0"/>
          <w:color w:val="auto"/>
          <w:sz w:val="28"/>
          <w:szCs w:val="28"/>
          <w:highlight w:val="none"/>
          <w:lang w:val="en-US" w:eastAsia="zh-CN"/>
        </w:rPr>
        <w:t xml:space="preserve">、</w:t>
      </w:r>
      <w:r>
        <w:rPr>
          <w:rFonts w:hint="eastAsia" w:ascii="宋体" w:hAnsi="宋体"/>
          <w:b/>
          <w:bCs w:val="0"/>
          <w:color w:val="auto"/>
          <w:sz w:val="28"/>
          <w:szCs w:val="28"/>
          <w:highlight w:val="none"/>
          <w:lang w:val="zh-CN"/>
        </w:rPr>
        <w:t xml:space="preserve">履约</w:t>
      </w:r>
      <w:r>
        <w:rPr>
          <w:rFonts w:hint="eastAsia" w:ascii="宋体" w:hAnsi="宋体"/>
          <w:b/>
          <w:bCs w:val="0"/>
          <w:color w:val="auto"/>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28.1 </w:t>
      </w:r>
      <w:r>
        <w:rPr>
          <w:rFonts w:hint="eastAsia" w:ascii="宋体" w:hAnsi="宋体"/>
          <w:bCs/>
          <w:color w:val="auto"/>
          <w:sz w:val="24"/>
          <w:szCs w:val="24"/>
          <w:highlight w:val="none"/>
        </w:rPr>
        <w:t xml:space="preserve">中标、成交供应商可采用合同融资形式，中标人可凭政府采购合同办理融资贷款，详见</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政府采购网“政采贷”专栏。</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28.2 </w:t>
      </w:r>
      <w:r>
        <w:rPr>
          <w:rFonts w:hint="eastAsia" w:ascii="宋体" w:hAnsi="宋体"/>
          <w:bCs/>
          <w:color w:val="auto"/>
          <w:sz w:val="24"/>
          <w:szCs w:val="24"/>
          <w:highlight w:val="none"/>
        </w:rPr>
        <w:t xml:space="preserve">履约</w:t>
      </w:r>
      <w:r>
        <w:rPr>
          <w:rFonts w:hint="eastAsia" w:ascii="宋体" w:hAnsi="宋体"/>
          <w:bCs/>
          <w:color w:val="auto"/>
          <w:sz w:val="24"/>
          <w:szCs w:val="24"/>
          <w:highlight w:val="none"/>
          <w:lang w:val="en-US" w:eastAsia="zh-CN"/>
        </w:rPr>
        <w:t xml:space="preserve">保函</w:t>
      </w:r>
      <w:r>
        <w:rPr>
          <w:rFonts w:hint="eastAsia" w:ascii="宋体" w:hAnsi="宋体"/>
          <w:bCs/>
          <w:color w:val="auto"/>
          <w:sz w:val="24"/>
          <w:szCs w:val="24"/>
          <w:highlight w:val="none"/>
        </w:rPr>
        <w:t xml:space="preserve">，是指由专业担保机构为中标、成交供应商支付履约保证金的义务向采购人提供的保函担保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29、投标行为及投标产品：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29.1 </w:t>
      </w:r>
      <w:r>
        <w:rPr>
          <w:rFonts w:hint="eastAsia" w:ascii="宋体" w:hAnsi="宋体" w:cs="宋体"/>
          <w:color w:val="auto"/>
          <w:sz w:val="24"/>
          <w:szCs w:val="24"/>
          <w:highlight w:val="none"/>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29.2 </w:t>
      </w:r>
      <w:r>
        <w:rPr>
          <w:rFonts w:hint="eastAsia" w:ascii="宋体" w:hAnsi="宋体" w:cs="宋体"/>
          <w:color w:val="auto"/>
          <w:sz w:val="24"/>
          <w:szCs w:val="24"/>
          <w:highlight w:val="none"/>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29.3 </w:t>
      </w:r>
      <w:r>
        <w:rPr>
          <w:rFonts w:hint="eastAsia" w:ascii="宋体" w:hAnsi="宋体" w:cs="宋体"/>
          <w:color w:val="auto"/>
          <w:sz w:val="24"/>
          <w:szCs w:val="24"/>
          <w:highlight w:val="none"/>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29.4 </w:t>
      </w:r>
      <w:r>
        <w:rPr>
          <w:rFonts w:hint="eastAsia" w:ascii="宋体" w:hAnsi="宋体" w:cs="宋体"/>
          <w:color w:val="auto"/>
          <w:sz w:val="24"/>
          <w:szCs w:val="24"/>
          <w:highlight w:val="none"/>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75" w:name="_Toc23122"/>
      <w:r>
        <w:rPr>
          <w:rFonts w:hint="eastAsia" w:ascii="宋体" w:hAnsi="宋体"/>
          <w:b/>
          <w:color w:val="auto"/>
          <w:sz w:val="30"/>
          <w:szCs w:val="30"/>
          <w:highlight w:val="none"/>
          <w:lang w:val="zh-CN"/>
        </w:rPr>
        <w:t xml:space="preserve">九、验收</w:t>
      </w:r>
      <w:r/>
    </w:p>
    <w:p>
      <w:pPr>
        <w:jc w:val="left"/>
        <w:spacing w:line="360" w:lineRule="auto"/>
        <w:rPr>
          <w:rFonts w:hint="default"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30、验收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hint="eastAsia" w:ascii="宋体" w:hAnsi="宋体"/>
          <w:b/>
          <w:bCs w:val="0"/>
          <w:color w:val="auto"/>
          <w:sz w:val="28"/>
          <w:szCs w:val="28"/>
          <w:highlight w:val="none"/>
          <w:lang w:val="zh-CN"/>
        </w:rPr>
      </w:pPr>
      <w:r/>
      <w:bookmarkStart w:id="76" w:name="OLE_LINK100"/>
      <w:r>
        <w:rPr>
          <w:rFonts w:hint="eastAsia" w:ascii="宋体" w:hAnsi="宋体"/>
          <w:b/>
          <w:bCs w:val="0"/>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77" w:name="_Hlk164153176"/>
      <w:r>
        <w:rPr>
          <w:rFonts w:hint="eastAsia" w:ascii="宋体" w:hAnsi="宋体"/>
          <w:bCs/>
          <w:color w:val="auto"/>
          <w:sz w:val="24"/>
          <w:szCs w:val="24"/>
          <w:highlight w:val="none"/>
          <w:lang w:val="zh-CN"/>
        </w:rPr>
        <w:t xml:space="preserve">31.2采购代理机构不负责向任何投标人解释评审情况。</w:t>
      </w:r>
      <w:bookmarkEnd w:id="77"/>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8" w:name="OLE_LINK139"/>
      <w:r>
        <w:rPr>
          <w:rFonts w:ascii="宋体" w:hAnsi="宋体"/>
          <w:bCs/>
          <w:color w:val="auto"/>
          <w:sz w:val="24"/>
          <w:szCs w:val="24"/>
          <w:highlight w:val="none"/>
        </w:rPr>
        <w:t xml:space="preserve"> </w:t>
      </w:r>
      <w:bookmarkStart w:id="79" w:name="_Hlk131935115"/>
      <w:r/>
      <w:bookmarkStart w:id="80"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9"/>
      <w:r>
        <w:rPr>
          <w:rFonts w:hint="eastAsia" w:ascii="宋体" w:hAnsi="宋体"/>
          <w:bCs/>
          <w:color w:val="auto"/>
          <w:sz w:val="24"/>
          <w:szCs w:val="24"/>
          <w:highlight w:val="none"/>
          <w:lang w:val="zh-CN"/>
        </w:rPr>
        <w:t xml:space="preserve">。</w:t>
      </w:r>
      <w:bookmarkEnd w:id="78"/>
      <w:r>
        <w:rPr>
          <w:rFonts w:hint="eastAsia" w:ascii="宋体" w:hAnsi="宋体"/>
          <w:bCs/>
          <w:color w:val="auto"/>
          <w:sz w:val="24"/>
          <w:szCs w:val="24"/>
          <w:highlight w:val="none"/>
          <w:lang w:val="zh-CN"/>
        </w:rPr>
        <w:t xml:space="preserve">同一项目下的不同采购包，投标人只能对其参与的采购包提出质疑。</w:t>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1"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2"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3"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3"/>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4"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color w:val="auto"/>
          <w:sz w:val="24"/>
          <w:szCs w:val="24"/>
          <w:highlight w:val="none"/>
          <w:lang w:val="zh-CN"/>
        </w:rPr>
        <w:t xml:space="preserve">。</w:t>
      </w:r>
      <w:bookmarkStart w:id="85" w:name="OLE_LINK142"/>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33、投诉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6"/>
      <w:r/>
      <w:bookmarkEnd w:id="85"/>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br w:type="page" w:clear="all"/>
      </w:r>
      <w:r/>
    </w:p>
    <w:p>
      <w:pPr>
        <w:pStyle w:val="888"/>
        <w:jc w:val="center"/>
        <w:keepLines/>
        <w:keepNext/>
        <w:pageBreakBefore w:val="0"/>
        <w:spacing w:before="0" w:after="0" w:line="579" w:lineRule="auto"/>
        <w:widowControl w:val="off"/>
        <w:rPr>
          <w:rFonts w:hint="eastAsia" w:ascii="黑体" w:hAnsi="黑体" w:eastAsia="黑体" w:cs="Times New Roman"/>
          <w:b w:val="0"/>
          <w:bCs w:val="0"/>
          <w:color w:val="auto"/>
          <w:sz w:val="36"/>
          <w:szCs w:val="36"/>
          <w:highlight w:val="none"/>
          <w:lang w:val="en-US" w:eastAsia="zh-CN" w:bidi="ar-SA"/>
        </w:rPr>
      </w:pPr>
      <w:r/>
      <w:bookmarkStart w:id="86" w:name="_Toc5530"/>
      <w:r>
        <w:rPr>
          <w:rFonts w:hint="eastAsia" w:ascii="黑体" w:hAnsi="黑体" w:eastAsia="黑体" w:cs="Times New Roman"/>
          <w:b w:val="0"/>
          <w:bCs w:val="0"/>
          <w:color w:val="auto"/>
          <w:sz w:val="36"/>
          <w:szCs w:val="36"/>
          <w:highlight w:val="none"/>
          <w:lang w:val="en-US" w:eastAsia="zh-CN" w:bidi="ar-SA"/>
        </w:rPr>
        <w:t xml:space="preserve">第三章 项目技术要求和有关说明</w:t>
      </w:r>
      <w:bookmarkEnd w:id="75"/>
      <w:r/>
      <w:bookmarkEnd w:id="86"/>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一、项目概述</w:t>
      </w:r>
      <w:r/>
    </w:p>
    <w:p>
      <w:pPr>
        <w:ind w:firstLine="480"/>
        <w:jc w:val="left"/>
        <w:spacing w:line="360" w:lineRule="auto"/>
        <w:rPr>
          <w:rFonts w:ascii="宋体" w:hAnsi="宋体"/>
          <w:color w:val="auto"/>
          <w:sz w:val="24"/>
          <w:szCs w:val="24"/>
          <w:highlight w:val="none"/>
        </w:rPr>
      </w:pPr>
      <w:r/>
      <w:bookmarkStart w:id="87"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江苏省宜兴第一中学周铁分校学生课桌椅、教师办公桌椅、宿舍床等家具（第二批）采购项目</w:t>
      </w:r>
      <w:r>
        <w:rPr>
          <w:rFonts w:hint="eastAsia" w:ascii="宋体" w:hAnsi="宋体"/>
          <w:color w:val="auto"/>
          <w:sz w:val="24"/>
          <w:szCs w:val="24"/>
          <w:highlight w:val="none"/>
        </w:rPr>
        <w:t xml:space="preserve">。</w:t>
      </w:r>
      <w:bookmarkStart w:id="88" w:name="_Hlk139978380"/>
      <w:r/>
      <w:bookmarkEnd w:id="87"/>
      <w:r/>
      <w:bookmarkEnd w:id="88"/>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二、技术要求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1、本次招标项目的要求及数量详见下表。</w:t>
      </w:r>
      <w:r/>
    </w:p>
    <w:tbl>
      <w:tblPr>
        <w:tblStyle w:val="892"/>
        <w:tblW w:w="96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6"/>
        <w:gridCol w:w="425"/>
        <w:gridCol w:w="596"/>
        <w:gridCol w:w="1752"/>
        <w:gridCol w:w="1078"/>
        <w:gridCol w:w="3353"/>
        <w:gridCol w:w="425"/>
        <w:gridCol w:w="694"/>
        <w:gridCol w:w="683"/>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分类</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尺寸(mm)</w:t>
            </w:r>
            <w:r>
              <w:rPr>
                <w:rFonts w:hint="eastAsia" w:ascii="黑体" w:hAnsi="宋体" w:eastAsia="黑体" w:cs="黑体"/>
                <w:i w:val="0"/>
                <w:iCs w:val="0"/>
                <w:color w:val="auto"/>
                <w:sz w:val="22"/>
                <w:szCs w:val="22"/>
                <w:highlight w:val="none"/>
                <w:u w:val="none"/>
                <w:lang w:val="en-US" w:eastAsia="zh-CN" w:bidi="ar"/>
              </w:rPr>
              <w:br/>
            </w:r>
            <w:r>
              <w:rPr>
                <w:rFonts w:hint="eastAsia" w:ascii="黑体" w:hAnsi="宋体" w:eastAsia="黑体" w:cs="黑体"/>
                <w:i w:val="0"/>
                <w:iCs w:val="0"/>
                <w:color w:val="auto"/>
                <w:sz w:val="22"/>
                <w:szCs w:val="22"/>
                <w:highlight w:val="none"/>
                <w:u w:val="none"/>
                <w:lang w:val="en-US" w:eastAsia="zh-CN" w:bidi="ar"/>
              </w:rPr>
              <w:t xml:space="preserve">(W×D×H)</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黑体" w:hAnsi="宋体" w:eastAsia="黑体" w:cs="黑体"/>
                <w:i w:val="0"/>
                <w:iCs w:val="0"/>
                <w:color w:val="auto"/>
                <w:sz w:val="22"/>
                <w:szCs w:val="22"/>
                <w:highlight w:val="none"/>
                <w:u w:val="none"/>
              </w:rPr>
              <w:suppressLineNumbers w:val="0"/>
            </w:pPr>
            <w:r>
              <w:rPr>
                <w:rFonts w:hint="eastAsia" w:ascii="黑体" w:hAnsi="宋体" w:eastAsia="黑体" w:cs="黑体"/>
                <w:i w:val="0"/>
                <w:iCs w:val="0"/>
                <w:color w:val="auto"/>
                <w:sz w:val="22"/>
                <w:szCs w:val="22"/>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b/>
                <w:color w:val="auto"/>
                <w:sz w:val="21"/>
                <w:szCs w:val="21"/>
                <w:highlight w:val="none"/>
                <w:lang w:val="en-US" w:eastAsia="zh-CN"/>
              </w:rPr>
              <w:t xml:space="preserve">标的</w:t>
            </w:r>
            <w:r>
              <w:rPr>
                <w:rFonts w:hint="eastAsia" w:ascii="宋体" w:hAnsi="宋体"/>
                <w:b/>
                <w:color w:val="auto"/>
                <w:sz w:val="21"/>
                <w:szCs w:val="21"/>
                <w:highlight w:val="none"/>
              </w:rPr>
              <w:t xml:space="preserve">所属行业</w:t>
            </w:r>
            <w:r/>
          </w:p>
        </w:tc>
      </w:tr>
      <w:tr>
        <w:trPr>
          <w:trHeight w:val="3552"/>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家具</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升降式课桌</w:t>
            </w:r>
            <w:r>
              <w:rPr>
                <w:rFonts w:hint="eastAsia" w:ascii="宋体" w:hAnsi="宋体" w:cs="宋体"/>
                <w:i w:val="0"/>
                <w:iCs w:val="0"/>
                <w:color w:val="auto"/>
                <w:sz w:val="20"/>
                <w:szCs w:val="20"/>
                <w:highlight w:val="none"/>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-24130</wp:posOffset>
                      </wp:positionH>
                      <wp:positionV relativeFrom="paragraph">
                        <wp:posOffset>550545</wp:posOffset>
                      </wp:positionV>
                      <wp:extent cx="920750" cy="1161415"/>
                      <wp:effectExtent l="0" t="0" r="12700" b="635"/>
                      <wp:wrapNone/>
                      <wp:docPr id="2" name="ID_094F12C279F747F28E095C9BFE64281A"/>
                      <wp:cNvGraphicFramePr/>
                      <a:graphic xmlns:a="http://schemas.openxmlformats.org/drawingml/2006/main">
                        <a:graphicData uri="http://schemas.openxmlformats.org/drawingml/2006/picture">
                          <pic:pic xmlns:pic="http://schemas.openxmlformats.org/drawingml/2006/picture">
                            <pic:nvPicPr>
                              <pic:cNvPr id="100" name="ID_094F12C279F747F28E095C9BFE64281A"/>
                              <pic:cNvPicPr/>
                              <pic:nvPr/>
                            </pic:nvPicPr>
                            <pic:blipFill>
                              <a:blip r:embed="rId13"/>
                              <a:stretch/>
                            </pic:blipFill>
                            <pic:spPr bwMode="auto">
                              <a:xfrm>
                                <a:off x="0" y="0"/>
                                <a:ext cx="920750" cy="1161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pt;mso-position-horizontal:absolute;mso-position-vertical-relative:text;margin-top:43.4pt;mso-position-vertical:absolute;width:72.5pt;height:91.4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600×42</w:t>
            </w:r>
            <w:bookmarkStart w:id="310" w:name="_GoBack"/>
            <w:r/>
            <w:bookmarkEnd w:id="310"/>
            <w:r>
              <w:rPr>
                <w:rFonts w:hint="eastAsia" w:ascii="宋体" w:hAnsi="宋体" w:eastAsia="宋体" w:cs="宋体"/>
                <w:i w:val="0"/>
                <w:iCs w:val="0"/>
                <w:color w:val="auto"/>
                <w:sz w:val="20"/>
                <w:szCs w:val="20"/>
                <w:highlight w:val="none"/>
                <w:u w:val="none"/>
                <w:lang w:val="en-US" w:eastAsia="zh-CN" w:bidi="ar"/>
              </w:rPr>
              <w:t xml:space="preserve">0×（640-800）（mm）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top"/>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1、桌面板：采用多层实木板，四周注塑包边。</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2、靠背与钢管结合方式，采用直插式，靠背设计有曲线弧度；座板前端有下凹设计，座板设计有通气缝，坐垫中间有内凹设计。                         </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3，课桌为单斗结构。桌斗：桌斗下沿至桌面高度应不大于130mm。采用钢制一级新料一体射出成型。桌斗宽度550mm（±2）mm*385mm（±2）mm。功能：书箱底部有排水槽缝之设计。                                                   </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4、桌体、椅体钢架：采用椭圆形冷轧钢管焊接而成，管材壁厚不小于1.2mm，管材焊接采用二氧化碳保护焊，并采用满焊工艺，桌腿之间采 用椭圆形钢管加焊横档以保证其横向稳定（呈外弧型）。（按图样要求）          </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5、课桌椅高度均可调节。要求：桌高规格：共6个档位，每档30mm；椅高规格： 共6个档位，每档20mm。升降方式采用螺丝调节或者旋钮调节或者手摇调节：升降方式采用旋钮升降，采用尼龙、钢制耐用复合材料组合设计；升降方式采用手摇升降，采用尼龙合金、铸铝、钢制耐用复合材料组合设计。升降管外侧根据实际高度印刷升降刻度，可实时观测升降高度情况。</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6、椅面要做股型凹面，椅面板后倾0-2度，靠背点以上应向后倾斜，与垂直面之间呈6-12度，椅背板须有圆弧。                                        </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7、金属桌腿的脚套须使用聚乙烯或聚丙烯材料等环保塑料，厚度不小于3mm。</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8、左右两侧各配有与书箱同色的挂钩，与书箱一体成型，挂钩挂重物的垂直静承载力不小于500N，钩端不超过桌侧缘之外。                                </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9、桌椅的所有结构不得留有棱角和锋利边缝。</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投标人须确保该产品的钢管在</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①“疲劳试验”方面，GB/T 3075-2021-疲劳试验20万次，试样无断裂；</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②“流动混合气体腐蚀试验”方面，GB/T 2423.51-2020-流动混合气体腐蚀200h；</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③“附着力”方面2级或优于2级。</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投标人须确保课桌椅在</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①“产品有害物质”方面，满足GB/T 35607-2024-有害物质限量：甲醛释放量、苯、甲苯、二甲苯³,总挥发性有机化合物（TVOC） 、家具涂层可迁移元素8项；</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②“金属喷漆(塑)涂层”方面，满足GB/T 3325-2024-硬度、冲击强度、耐盐浴(划道两侧3mm外，应无鼓泡、锈蚀、剥落和起皱等现象） 、附着力（2级或优于2级）。</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教师办公室家具</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组合办公桌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（柜在右/左）</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wp:posOffset>
                      </wp:positionH>
                      <wp:positionV relativeFrom="paragraph">
                        <wp:posOffset>-617220</wp:posOffset>
                      </wp:positionV>
                      <wp:extent cx="962660" cy="1362075"/>
                      <wp:effectExtent l="0" t="0" r="8890" b="9525"/>
                      <wp:wrapNone/>
                      <wp:docPr id="3" name="ID_2C3E008B06EF4059A95EF81F2EE5E412"/>
                      <wp:cNvGraphicFramePr/>
                      <a:graphic xmlns:a="http://schemas.openxmlformats.org/drawingml/2006/main">
                        <a:graphicData uri="http://schemas.openxmlformats.org/drawingml/2006/picture">
                          <pic:pic xmlns:pic="http://schemas.openxmlformats.org/drawingml/2006/picture">
                            <pic:nvPicPr>
                              <pic:cNvPr id="104" name="ID_2C3E008B06EF4059A95EF81F2EE5E412"/>
                              <pic:cNvPicPr/>
                              <pic:nvPr/>
                            </pic:nvPicPr>
                            <pic:blipFill>
                              <a:blip r:embed="rId14"/>
                              <a:stretch/>
                            </pic:blipFill>
                            <pic:spPr bwMode="auto">
                              <a:xfrm>
                                <a:off x="0" y="0"/>
                                <a:ext cx="96266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4pt;mso-position-horizontal:absolute;mso-position-vertical-relative:text;margin-top:-48.6pt;mso-position-vertical:absolute;width:75.8pt;height:107.2pt;mso-wrap-distance-left:9.0pt;mso-wrap-distance-top:0.0pt;mso-wrap-distance-right:9.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1600*1400*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2000（mm）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基材：E0级实木多层板，甲醛释放量≤0.050mg/m³，防火、防潮、耐 磨、耐酸碱、耐烫、耐污染。</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封边条选用优质PVC封边条。</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五金配件：采用优质五金配件。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技术说明：使用环保材料：材料须经专业干燥处理，坚固耐用、防水、防变形及开裂、抗老化特性，同时具有耐酸碱、不易褪色等特性。</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投标人须确保该产品的“E0级实木多层板”在</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①“挥发性有机化合物释放浓度”方面满足GB/T 35601-2024-绿色产品：苯、甲苯、二甲苯 、总挥发性有机化合物（TVOC）；</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②“烟气毒性等级”方面满足烟气毒性等级：t0；</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③“平板状建筑材料及制品的燃烧性能等级”方面满足GB 8624-2012-平板状建筑材料及制品的燃烧性能等级：B1-B级。</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92710</wp:posOffset>
                      </wp:positionV>
                      <wp:extent cx="771525" cy="728345"/>
                      <wp:effectExtent l="0" t="0" r="9525" b="14604"/>
                      <wp:wrapNone/>
                      <wp:docPr id="4" name="ID_EC59D6FE2E9F4D17903ED1EE1212C85A"/>
                      <wp:cNvGraphicFramePr/>
                      <a:graphic xmlns:a="http://schemas.openxmlformats.org/drawingml/2006/main">
                        <a:graphicData uri="http://schemas.openxmlformats.org/drawingml/2006/picture">
                          <pic:pic xmlns:pic="http://schemas.openxmlformats.org/drawingml/2006/picture">
                            <pic:nvPicPr>
                              <pic:cNvPr id="106" name="ID_EC59D6FE2E9F4D17903ED1EE1212C85A"/>
                              <pic:cNvPicPr/>
                              <pic:nvPr/>
                            </pic:nvPicPr>
                            <pic:blipFill>
                              <a:blip r:embed="rId15"/>
                              <a:stretch/>
                            </pic:blipFill>
                            <pic:spPr bwMode="auto">
                              <a:xfrm>
                                <a:off x="0" y="0"/>
                                <a:ext cx="771525" cy="72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3pt;mso-position-horizontal:absolute;mso-position-vertical-relative:text;margin-top:7.3pt;mso-position-vertical:absolute;width:60.8pt;height:57.3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尼龙加玻纤椅背.</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尼龙材质连体固定扶手。</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专用底壳加一体成型9层板12mm厚,配高回弹定型海绵。</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∮25管1.8厚电镀弓形架。</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269875</wp:posOffset>
                      </wp:positionH>
                      <wp:positionV relativeFrom="paragraph">
                        <wp:posOffset>466090</wp:posOffset>
                      </wp:positionV>
                      <wp:extent cx="816610" cy="719455"/>
                      <wp:effectExtent l="0" t="0" r="2540" b="4445"/>
                      <wp:wrapNone/>
                      <wp:docPr id="5" name="ID_4FA581CDA5C243EC96BBB048F9D417AF"/>
                      <wp:cNvGraphicFramePr/>
                      <a:graphic xmlns:a="http://schemas.openxmlformats.org/drawingml/2006/main">
                        <a:graphicData uri="http://schemas.openxmlformats.org/drawingml/2006/picture">
                          <pic:pic xmlns:pic="http://schemas.openxmlformats.org/drawingml/2006/picture">
                            <pic:nvPicPr>
                              <pic:cNvPr id="108" name="ID_4FA581CDA5C243EC96BBB048F9D417AF"/>
                              <pic:cNvPicPr/>
                              <pic:nvPr/>
                            </pic:nvPicPr>
                            <pic:blipFill>
                              <a:blip r:embed="rId16"/>
                              <a:stretch/>
                            </pic:blipFill>
                            <pic:spPr bwMode="auto">
                              <a:xfrm>
                                <a:off x="0" y="0"/>
                                <a:ext cx="816610" cy="71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1.2pt;mso-position-horizontal:absolute;mso-position-vertical-relative:text;margin-top:36.7pt;mso-position-vertical:absolute;width:64.3pt;height:56.6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办公桌和柜</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柜子1400*400*2000(mm)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桌子1200*600*760(mm)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基材：采用符合E0级标准实木多层板。双贴1mm防火板饰面，硬度高，不易磨花，具有防火性,哑光持久。</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封边条选用优质PVC封边条。</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五金配件：采用优质五金配件。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技术说明：使用环保材料：材料须经专业干燥处理，坚固耐用、防水、防变形及开裂、抗老化特性，同时具有耐酸碱、不易褪色等特性。</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445770</wp:posOffset>
                      </wp:positionV>
                      <wp:extent cx="771525" cy="728345"/>
                      <wp:effectExtent l="0" t="0" r="9525" b="14604"/>
                      <wp:wrapNone/>
                      <wp:docPr id="6" name="ID_EC59D6FE2E9F4D17903ED1EE1212C85A_SpCnt_1"/>
                      <wp:cNvGraphicFramePr/>
                      <a:graphic xmlns:a="http://schemas.openxmlformats.org/drawingml/2006/main">
                        <a:graphicData uri="http://schemas.openxmlformats.org/drawingml/2006/picture">
                          <pic:pic xmlns:pic="http://schemas.openxmlformats.org/drawingml/2006/picture">
                            <pic:nvPicPr>
                              <pic:cNvPr id="105" name="ID_EC59D6FE2E9F4D17903ED1EE1212C85A_SpCnt_1"/>
                              <pic:cNvPicPr/>
                              <pic:nvPr/>
                            </pic:nvPicPr>
                            <pic:blipFill>
                              <a:blip r:embed="rId15"/>
                              <a:stretch/>
                            </pic:blipFill>
                            <pic:spPr bwMode="auto">
                              <a:xfrm>
                                <a:off x="0" y="0"/>
                                <a:ext cx="771525" cy="72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8pt;mso-position-horizontal:absolute;mso-position-vertical-relative:text;margin-top:35.1pt;mso-position-vertical:absolute;width:60.8pt;height:57.3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升降活动头枕,尼龙玻纤椅身,配自适应拉线腰靠。</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阻燃3D针织系列网布。</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PU扶手面的3D升降扶手。</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四段线控锁定底盘。</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行程85#沉口70mm四级气杆。</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∮黑色标配350MM尼龙高脚灰色标配∮350铁电镀高脚。</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黑色标配60MM PVC静音黑色轮，灰色标配60MMPVC防震静音黑色轮。</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302895</wp:posOffset>
                      </wp:positionV>
                      <wp:extent cx="762635" cy="1019810"/>
                      <wp:effectExtent l="0" t="0" r="18415" b="8890"/>
                      <wp:wrapNone/>
                      <wp:docPr id="7" name="ID_1E8446E7610F451F890B940710448168"/>
                      <wp:cNvGraphicFramePr/>
                      <a:graphic xmlns:a="http://schemas.openxmlformats.org/drawingml/2006/main">
                        <a:graphicData uri="http://schemas.openxmlformats.org/drawingml/2006/picture">
                          <pic:pic xmlns:pic="http://schemas.openxmlformats.org/drawingml/2006/picture">
                            <pic:nvPicPr>
                              <pic:cNvPr id="114" name="ID_1E8446E7610F451F890B940710448168"/>
                              <pic:cNvPicPr/>
                              <pic:nvPr/>
                            </pic:nvPicPr>
                            <pic:blipFill>
                              <a:blip r:embed="rId17"/>
                              <a:stretch/>
                            </pic:blipFill>
                            <pic:spPr bwMode="auto">
                              <a:xfrm>
                                <a:off x="0" y="0"/>
                                <a:ext cx="762635" cy="101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4.0pt;mso-position-horizontal:absolute;mso-position-vertical-relative:text;margin-top:23.8pt;mso-position-vertical:absolute;width:60.0pt;height:80.3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桌子1200*600*760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基材：采用符合E0级标准实木多层板。双贴1mm防火板饰面，硬度高，不易磨花，具有防火性,哑光持久。</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封边条选用优质PVC封边条。</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五金配件：采用优质五金配件。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技术说明：使用环保材料：材料须经专业干燥处理，坚固耐用、防水、防变形及开裂、抗老化特性，同时具有耐酸碱、不易褪色等特性。</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628015</wp:posOffset>
                      </wp:positionV>
                      <wp:extent cx="771525" cy="728345"/>
                      <wp:effectExtent l="0" t="0" r="9525" b="14604"/>
                      <wp:wrapNone/>
                      <wp:docPr id="8" name="ID_EC59D6FE2E9F4D17903ED1EE1212C85A_SpCnt_2"/>
                      <wp:cNvGraphicFramePr/>
                      <a:graphic xmlns:a="http://schemas.openxmlformats.org/drawingml/2006/main">
                        <a:graphicData uri="http://schemas.openxmlformats.org/drawingml/2006/picture">
                          <pic:pic xmlns:pic="http://schemas.openxmlformats.org/drawingml/2006/picture">
                            <pic:nvPicPr>
                              <pic:cNvPr id="97" name="ID_EC59D6FE2E9F4D17903ED1EE1212C85A_SpCnt_2"/>
                              <pic:cNvPicPr/>
                              <pic:nvPr/>
                            </pic:nvPicPr>
                            <pic:blipFill>
                              <a:blip r:embed="rId15"/>
                              <a:stretch/>
                            </pic:blipFill>
                            <pic:spPr bwMode="auto">
                              <a:xfrm>
                                <a:off x="0" y="0"/>
                                <a:ext cx="771525" cy="72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0pt;mso-position-horizontal:absolute;mso-position-vertical-relative:text;margin-top:49.4pt;mso-position-vertical:absolute;width:60.8pt;height:57.3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升降活动头枕,尼龙玻纤椅身,配自适应拉线腰靠。</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阻燃3D针织系列网布。</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PU扶手面的3D升降扶手。</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四段线控锁定底盘。</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行程85#沉口70mm四级气杆。</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∮黑色标配350MM尼龙高脚灰色标配∮350铁电镀高脚。</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黑色标配60MM PVC静音黑色轮，灰色标配60MMPVC防震静音黑色轮。</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单柜</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173990</wp:posOffset>
                      </wp:positionH>
                      <wp:positionV relativeFrom="paragraph">
                        <wp:posOffset>54610</wp:posOffset>
                      </wp:positionV>
                      <wp:extent cx="652145" cy="775970"/>
                      <wp:effectExtent l="0" t="0" r="14604" b="5080"/>
                      <wp:wrapNone/>
                      <wp:docPr id="9" name="ID_468AEA7C4485467F8FA037D72DEF1792"/>
                      <wp:cNvGraphicFramePr/>
                      <a:graphic xmlns:a="http://schemas.openxmlformats.org/drawingml/2006/main">
                        <a:graphicData uri="http://schemas.openxmlformats.org/drawingml/2006/picture">
                          <pic:pic xmlns:pic="http://schemas.openxmlformats.org/drawingml/2006/picture">
                            <pic:nvPicPr>
                              <pic:cNvPr id="116" name="ID_468AEA7C4485467F8FA037D72DEF1792"/>
                              <pic:cNvPicPr/>
                              <pic:nvPr/>
                            </pic:nvPicPr>
                            <pic:blipFill>
                              <a:blip r:embed="rId18"/>
                              <a:stretch/>
                            </pic:blipFill>
                            <pic:spPr bwMode="auto">
                              <a:xfrm>
                                <a:off x="0" y="0"/>
                                <a:ext cx="652145"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3.7pt;mso-position-horizontal:absolute;mso-position-vertical-relative:text;margin-top:4.3pt;mso-position-vertical:absolute;width:51.3pt;height:61.1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400*400*530（mm）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基材：采用符合E0级标准实木多层板。双贴1mm防火板饰面，硬度高，不易磨花，具有防火性,哑光持久。</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封边条选用优质PVC封边条。</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五金配件：采用优质五金配件。</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-59690</wp:posOffset>
                      </wp:positionH>
                      <wp:positionV relativeFrom="paragraph">
                        <wp:posOffset>95250</wp:posOffset>
                      </wp:positionV>
                      <wp:extent cx="670560" cy="861695"/>
                      <wp:effectExtent l="0" t="0" r="15240" b="14604"/>
                      <wp:wrapNone/>
                      <wp:docPr id="10" name="ID_43C9081E1A0049769D5AA433DAF97103"/>
                      <wp:cNvGraphicFramePr/>
                      <a:graphic xmlns:a="http://schemas.openxmlformats.org/drawingml/2006/main">
                        <a:graphicData uri="http://schemas.openxmlformats.org/drawingml/2006/picture">
                          <pic:pic xmlns:pic="http://schemas.openxmlformats.org/drawingml/2006/picture">
                            <pic:nvPicPr>
                              <pic:cNvPr id="96" name="ID_43C9081E1A0049769D5AA433DAF97103"/>
                              <pic:cNvPicPr/>
                              <pic:nvPr/>
                            </pic:nvPicPr>
                            <pic:blipFill>
                              <a:blip r:embed="rId19"/>
                              <a:stretch/>
                            </pic:blipFill>
                            <pic:spPr bwMode="auto">
                              <a:xfrm>
                                <a:off x="0" y="0"/>
                                <a:ext cx="670560" cy="861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4.7pt;mso-position-horizontal:absolute;mso-position-vertical-relative:text;margin-top:7.5pt;mso-position-vertical:absolute;width:52.8pt;height:67.8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700*400*2000（mm）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基料板材均采用符合E0级标准实木多层板，厚度为18mm,硬度高，不易磨花，具有防火性,哑光持久。</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所有材料均经过防虫、防腐等化学处理,优质五金配件，经国家法定检测机构检验，均符合相应的国家标准。</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行政办公室家具</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wp:posOffset>
                      </wp:positionH>
                      <wp:positionV relativeFrom="paragraph">
                        <wp:posOffset>292735</wp:posOffset>
                      </wp:positionV>
                      <wp:extent cx="1005840" cy="537845"/>
                      <wp:effectExtent l="0" t="0" r="3810" b="14604"/>
                      <wp:wrapNone/>
                      <wp:docPr id="11" name="ID_26F5DE5F7D8A4F2A916644EE538438FA"/>
                      <wp:cNvGraphicFramePr/>
                      <a:graphic xmlns:a="http://schemas.openxmlformats.org/drawingml/2006/main">
                        <a:graphicData uri="http://schemas.openxmlformats.org/drawingml/2006/picture">
                          <pic:pic xmlns:pic="http://schemas.openxmlformats.org/drawingml/2006/picture">
                            <pic:nvPicPr>
                              <pic:cNvPr id="103" name="ID_26F5DE5F7D8A4F2A916644EE538438FA"/>
                              <pic:cNvPicPr/>
                              <pic:nvPr/>
                            </pic:nvPicPr>
                            <pic:blipFill>
                              <a:blip r:embed="rId20"/>
                              <a:stretch/>
                            </pic:blipFill>
                            <pic:spPr bwMode="auto">
                              <a:xfrm>
                                <a:off x="0" y="0"/>
                                <a:ext cx="1005840"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6pt;mso-position-horizontal:absolute;mso-position-vertical-relative:text;margin-top:23.0pt;mso-position-vertical:absolute;width:79.2pt;height:42.4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1800*1600*760（mm）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基材：采用符合E0级标准实木多层板。双贴1mm防火板饰面，硬度高，不易磨花，具有防火性,哑光持久。</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封边条选用优质PVC封边条。</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五金配件：采用优质五金配件。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技术说明：使用环保材料：材料须经专业干燥处理，坚固耐用、防水、防变形及开裂、抗老化特性，同时具有耐酸碱、不易褪色等特性。</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507"/>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办公椅4</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142240</wp:posOffset>
                      </wp:positionH>
                      <wp:positionV relativeFrom="paragraph">
                        <wp:posOffset>241300</wp:posOffset>
                      </wp:positionV>
                      <wp:extent cx="771525" cy="728345"/>
                      <wp:effectExtent l="0" t="0" r="9525" b="14604"/>
                      <wp:wrapNone/>
                      <wp:docPr id="12" name="ID_EC59D6FE2E9F4D17903ED1EE1212C85A_SpCnt_3"/>
                      <wp:cNvGraphicFramePr/>
                      <a:graphic xmlns:a="http://schemas.openxmlformats.org/drawingml/2006/main">
                        <a:graphicData uri="http://schemas.openxmlformats.org/drawingml/2006/picture">
                          <pic:pic xmlns:pic="http://schemas.openxmlformats.org/drawingml/2006/picture">
                            <pic:nvPicPr>
                              <pic:cNvPr id="107" name="ID_EC59D6FE2E9F4D17903ED1EE1212C85A_SpCnt_3"/>
                              <pic:cNvPicPr/>
                              <pic:nvPr/>
                            </pic:nvPicPr>
                            <pic:blipFill>
                              <a:blip r:embed="rId15"/>
                              <a:stretch/>
                            </pic:blipFill>
                            <pic:spPr bwMode="auto">
                              <a:xfrm>
                                <a:off x="0" y="0"/>
                                <a:ext cx="771525" cy="72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11.2pt;mso-position-horizontal:absolute;mso-position-vertical-relative:text;margin-top:19.0pt;mso-position-vertical:absolute;width:60.8pt;height:57.3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升降活动头枕,尼龙玻纤椅身,配自适应拉线腰靠。</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美标阻燃3D针织系列网布。</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PU扶手面的3D升降扶手。</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四段线控锁定底盘。</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行程85#沉口70mm四级气杆。</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∮黑色标配350MM尼龙高脚灰色标配∮350铁电镀高脚。</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黑色标配60MM PVC静音黑色轮，灰色标配60MMPVC防震静音黑色轮。</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402"/>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208280</wp:posOffset>
                      </wp:positionH>
                      <wp:positionV relativeFrom="paragraph">
                        <wp:posOffset>-257810</wp:posOffset>
                      </wp:positionV>
                      <wp:extent cx="1014730" cy="576580"/>
                      <wp:effectExtent l="0" t="0" r="13970" b="13970"/>
                      <wp:wrapNone/>
                      <wp:docPr id="13" name="ID_2D4C44177A8345A29BA4C7FFFFE523D8"/>
                      <wp:cNvGraphicFramePr/>
                      <a:graphic xmlns:a="http://schemas.openxmlformats.org/drawingml/2006/main">
                        <a:graphicData uri="http://schemas.openxmlformats.org/drawingml/2006/picture">
                          <pic:pic xmlns:pic="http://schemas.openxmlformats.org/drawingml/2006/picture">
                            <pic:nvPicPr>
                              <pic:cNvPr id="95" name="ID_2D4C44177A8345A29BA4C7FFFFE523D8"/>
                              <pic:cNvPicPr/>
                              <pic:nvPr/>
                            </pic:nvPicPr>
                            <pic:blipFill>
                              <a:blip r:embed="rId21"/>
                              <a:stretch/>
                            </pic:blipFill>
                            <pic:spPr bwMode="auto">
                              <a:xfrm>
                                <a:off x="0" y="0"/>
                                <a:ext cx="1014730"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16.4pt;mso-position-horizontal:absolute;mso-position-vertical-relative:text;margin-top:-20.3pt;mso-position-vertical:absolute;width:79.9pt;height:45.4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办公桌3</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1087755" cy="605155"/>
                      <wp:effectExtent l="0" t="0" r="17145" b="4445"/>
                      <wp:docPr id="14" name="ID_D84975BFD2EF4523988B78C3F177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D_D84975BFD2EF4523988B78C3F1774439"/>
                              <pic:cNvPicPr>
                                <a:picLocks noChangeAspect="1"/>
                              </pic:cNvPicPr>
                              <pic:nvPr/>
                            </pic:nvPicPr>
                            <pic:blipFill>
                              <a:blip r:embed="rId22"/>
                              <a:stretch/>
                            </pic:blipFill>
                            <pic:spPr bwMode="auto">
                              <a:xfrm>
                                <a:off x="0" y="0"/>
                                <a:ext cx="1087755" cy="6051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5.6pt;height:47.6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1800*1650*750（mm）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1.基材：采用符合E0级标准实木多层板，符合GB/T 15102-2017《浸渍胶膜纸饰面纤维板和刨花板》、GB 18580-2017《室内装饰装修材料人造板及其制品中甲醛释放限量》和GB/T 35601-2017《绿色产品评价人造板和木质地板》标准要求。静曲强度≥15.4MPa；弹性模量≥2980MPa；内结合强度≥</w:t>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0.38MPa；表面胶合强度≥1.09MPa；2 h吸水厚度膨胀率≤0.9%；含水率≤7.6%；密度≥0.68g/cm³；握螺钉力：板面≥960N、板边≥680N；表面耐冷热循环、表面耐划痕符合检测结果；表面耐香烟灼烧≥4级；表面耐干热≥4级；表面耐污染腐蚀：图案纹≥5级；表面耐龟裂≥5级；表面耐水蒸气≥5级；耐光色牢度≥4级；甲醛释放限量E1≤0.032mg/m³；挥发性有机化合物(72h)：苯≤2μg/m³、甲苯≤2.22μg/m³、二甲苯≤6μg/m³、总挥发性有机化合物（TVOC）≤50μg/m³。</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2.胶水：采用优质热熔胶，符合GB 18583-2008《室内装饰装修材料 胶粘剂中有害物质限量》</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办公椅5</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244475</wp:posOffset>
                      </wp:positionV>
                      <wp:extent cx="771525" cy="728345"/>
                      <wp:effectExtent l="0" t="0" r="9525" b="14604"/>
                      <wp:wrapNone/>
                      <wp:docPr id="15" name="ID_EC59D6FE2E9F4D17903ED1EE1212C85A_SpCnt_4"/>
                      <wp:cNvGraphicFramePr/>
                      <a:graphic xmlns:a="http://schemas.openxmlformats.org/drawingml/2006/main">
                        <a:graphicData uri="http://schemas.openxmlformats.org/drawingml/2006/picture">
                          <pic:pic xmlns:pic="http://schemas.openxmlformats.org/drawingml/2006/picture">
                            <pic:nvPicPr>
                              <pic:cNvPr id="109" name="ID_EC59D6FE2E9F4D17903ED1EE1212C85A_SpCnt_4"/>
                              <pic:cNvPicPr/>
                              <pic:nvPr/>
                            </pic:nvPicPr>
                            <pic:blipFill>
                              <a:blip r:embed="rId15"/>
                              <a:stretch/>
                            </pic:blipFill>
                            <pic:spPr bwMode="auto">
                              <a:xfrm>
                                <a:off x="0" y="0"/>
                                <a:ext cx="771525" cy="72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12.7pt;mso-position-horizontal:absolute;mso-position-vertical-relative:text;margin-top:19.2pt;mso-position-vertical:absolute;width:60.8pt;height:57.3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升降活动头枕,尼龙玻纤椅身,配自适应拉线腰靠。</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美标阻燃3D针织系列网布。</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PU扶手面的3D升降扶手。</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四段线控锁定底盘。</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行程85#沉口70mm四级气杆。</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∮黑色标配350MM尼龙高脚灰色标配∮350铁电镀高脚。</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黑色标配60MM PVC静音黑色轮，灰色标配60MMPVC防震静音黑色轮。</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239"/>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沙发茶几1</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473710</wp:posOffset>
                      </wp:positionV>
                      <wp:extent cx="1024890" cy="633095"/>
                      <wp:effectExtent l="0" t="0" r="3810" b="14604"/>
                      <wp:wrapNone/>
                      <wp:docPr id="16" name="ID_2E708A908BB644398F51AEABBDB9E3AB"/>
                      <wp:cNvGraphicFramePr/>
                      <a:graphic xmlns:a="http://schemas.openxmlformats.org/drawingml/2006/main">
                        <a:graphicData uri="http://schemas.openxmlformats.org/drawingml/2006/picture">
                          <pic:pic xmlns:pic="http://schemas.openxmlformats.org/drawingml/2006/picture">
                            <pic:nvPicPr>
                              <pic:cNvPr id="101" name="ID_2E708A908BB644398F51AEABBDB9E3AB"/>
                              <pic:cNvPicPr/>
                              <pic:nvPr/>
                            </pic:nvPicPr>
                            <pic:blipFill>
                              <a:blip r:embed="rId23"/>
                              <a:stretch/>
                            </pic:blipFill>
                            <pic:spPr bwMode="auto">
                              <a:xfrm>
                                <a:off x="0" y="0"/>
                                <a:ext cx="1024890"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1.9pt;mso-position-horizontal:absolute;mso-position-vertical-relative:text;margin-top:37.3pt;mso-position-vertical:absolute;width:80.7pt;height:49.8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沙发1+1+3；单人：920*930*770mm，三人：1920*930*770mm；</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1、西皮面材，柔软贴手，透气性好。</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2、海绵：海绵密度：35-55度；内采用高弹力定型海绵，拉伸强度为110kPa，伸长率为160%，回弹率为40%，75%压缩永久不变形率为5%。可防氧化、防碎，经过HD测试，不变形。</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3、框架：实木框架，经熏蒸处理，防霉、防虫。</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4、底座：不锈钢钢架。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5、茶几尺寸：120*60*43cm。</w:t>
            </w:r>
            <w:r/>
          </w:p>
          <w:p>
            <w:pPr>
              <w:pStyle w:val="893"/>
              <w:rPr>
                <w:rFonts w:hint="default"/>
                <w:color w:val="auto"/>
                <w:highlight w:val="none"/>
                <w:lang w:val="en-US"/>
              </w:rPr>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注：尺寸允许偏差±5</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273685</wp:posOffset>
                      </wp:positionH>
                      <wp:positionV relativeFrom="paragraph">
                        <wp:posOffset>67310</wp:posOffset>
                      </wp:positionV>
                      <wp:extent cx="647065" cy="868680"/>
                      <wp:effectExtent l="0" t="0" r="635" b="7620"/>
                      <wp:wrapNone/>
                      <wp:docPr id="17" name="ID_B2B119958A724343BD42DBA67E1E4D40"/>
                      <wp:cNvGraphicFramePr/>
                      <a:graphic xmlns:a="http://schemas.openxmlformats.org/drawingml/2006/main">
                        <a:graphicData uri="http://schemas.openxmlformats.org/drawingml/2006/picture">
                          <pic:pic xmlns:pic="http://schemas.openxmlformats.org/drawingml/2006/picture">
                            <pic:nvPicPr>
                              <pic:cNvPr id="98" name="ID_B2B119958A724343BD42DBA67E1E4D40"/>
                              <pic:cNvPicPr/>
                              <pic:nvPr/>
                            </pic:nvPicPr>
                            <pic:blipFill>
                              <a:blip r:embed="rId24"/>
                              <a:stretch/>
                            </pic:blipFill>
                            <pic:spPr bwMode="auto">
                              <a:xfrm>
                                <a:off x="0" y="0"/>
                                <a:ext cx="647065" cy="868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21.6pt;mso-position-horizontal:absolute;mso-position-vertical-relative:text;margin-top:5.3pt;mso-position-vertical:absolute;width:50.9pt;height:68.4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600*600*430mm，实木铁艺</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wp:posOffset>
                      </wp:positionH>
                      <wp:positionV relativeFrom="paragraph">
                        <wp:posOffset>92710</wp:posOffset>
                      </wp:positionV>
                      <wp:extent cx="753745" cy="1008380"/>
                      <wp:effectExtent l="0" t="0" r="8255" b="1270"/>
                      <wp:wrapNone/>
                      <wp:docPr id="18" name="ID_28C64343BC60448ABB0A85A873B101E7"/>
                      <wp:cNvGraphicFramePr/>
                      <a:graphic xmlns:a="http://schemas.openxmlformats.org/drawingml/2006/main">
                        <a:graphicData uri="http://schemas.openxmlformats.org/drawingml/2006/picture">
                          <pic:pic xmlns:pic="http://schemas.openxmlformats.org/drawingml/2006/picture">
                            <pic:nvPicPr>
                              <pic:cNvPr id="110" name="ID_28C64343BC60448ABB0A85A873B101E7"/>
                              <pic:cNvPicPr/>
                              <pic:nvPr/>
                            </pic:nvPicPr>
                            <pic:blipFill>
                              <a:blip r:embed="rId25"/>
                              <a:stretch/>
                            </pic:blipFill>
                            <pic:spPr bwMode="auto">
                              <a:xfrm>
                                <a:off x="0" y="0"/>
                                <a:ext cx="753745"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4.7pt;mso-position-horizontal:absolute;mso-position-vertical-relative:text;margin-top:7.3pt;mso-position-vertical:absolute;width:59.3pt;height:79.4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850*750*700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单人，黑色；</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1、西皮面材，柔软贴手，透气性好。</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2、海绵：海绵密度：35-55度；内采用高弹力定型海绵，拉伸强度为110kPa，伸长率为160%，回弹率为40%，75%压缩永久不变形率为5%。可防氧化、防碎，经过HD测试，不变形。</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3、框架：实木框架，经熏蒸处理，防霉、防虫。</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-59055</wp:posOffset>
                      </wp:positionH>
                      <wp:positionV relativeFrom="paragraph">
                        <wp:posOffset>1182370</wp:posOffset>
                      </wp:positionV>
                      <wp:extent cx="1024255" cy="805180"/>
                      <wp:effectExtent l="0" t="0" r="4445" b="13970"/>
                      <wp:wrapNone/>
                      <wp:docPr id="19" name="ID_3A3178A961E24D7FAF3B2EAB4F4FCFA8"/>
                      <wp:cNvGraphicFramePr/>
                      <a:graphic xmlns:a="http://schemas.openxmlformats.org/drawingml/2006/main">
                        <a:graphicData uri="http://schemas.openxmlformats.org/drawingml/2006/picture">
                          <pic:pic xmlns:pic="http://schemas.openxmlformats.org/drawingml/2006/picture">
                            <pic:nvPicPr>
                              <pic:cNvPr id="112" name="ID_3A3178A961E24D7FAF3B2EAB4F4FCFA8"/>
                              <pic:cNvPicPr/>
                              <pic:nvPr/>
                            </pic:nvPicPr>
                            <pic:blipFill>
                              <a:blip r:embed="rId26"/>
                              <a:stretch/>
                            </pic:blipFill>
                            <pic:spPr bwMode="auto">
                              <a:xfrm>
                                <a:off x="0" y="0"/>
                                <a:ext cx="1024255" cy="80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4.6pt;mso-position-horizontal:absolute;mso-position-vertical-relative:text;margin-top:93.1pt;mso-position-vertical:absolute;width:80.6pt;height:63.4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（1800+900）*400*2100mm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（1800+900）*400*2100mm</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1.基材：采用符合E0级标准实木多层板，符合GB/T 15102-2017《浸渍胶膜纸饰面纤维板和刨花板》、GB 18580-2017《室内装饰装修材料人造板及其制品中甲醛释放限量》和GB/T 35601-2017《绿色产品评价人造板和木质地板》标准要求。静曲强度≥15.4MPa；弹性模量≥2980MPa；内结合强度≥</w:t>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0.38MPa；表面胶合强度≥1.09MPa；2 h吸水厚度膨胀率≤0.9%；含水率≤7.6%；密度≥0.68g/cm³；握螺钉力：板面≥960N、板边≥680N；表面耐冷热循环、表面耐划痕符合检测结果；表面耐香烟灼烧≥4级；表面耐干热≥4级；表面耐污染腐蚀：图案纹≥5级；表面耐龟裂≥5级；表面耐水蒸气≥5级；耐光色牢度≥4级；甲醛释放限量E1≤0.032mg/m³；挥发性有机化合物(72h)：苯≤2μg/m³、甲苯≤2.22μg/m³、二甲苯≤6μg/m³、总挥发性有机化合物（TVOC）≤50μg/m³。</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2.胶水：采用优质热熔胶，符合GB 18583-2008《室内装饰装修材料 胶粘剂中有害物质限量》</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沙发茶几2</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79375</wp:posOffset>
                      </wp:positionH>
                      <wp:positionV relativeFrom="paragraph">
                        <wp:posOffset>403225</wp:posOffset>
                      </wp:positionV>
                      <wp:extent cx="947420" cy="636905"/>
                      <wp:effectExtent l="0" t="0" r="5080" b="10795"/>
                      <wp:wrapNone/>
                      <wp:docPr id="20" name="ID_2E708A908BB644398F51AEABBDB9E3AB_SpCnt_1"/>
                      <wp:cNvGraphicFramePr/>
                      <a:graphic xmlns:a="http://schemas.openxmlformats.org/drawingml/2006/main">
                        <a:graphicData uri="http://schemas.openxmlformats.org/drawingml/2006/picture">
                          <pic:pic xmlns:pic="http://schemas.openxmlformats.org/drawingml/2006/picture">
                            <pic:nvPicPr>
                              <pic:cNvPr id="99" name="ID_2E708A908BB644398F51AEABBDB9E3AB_SpCnt_1"/>
                              <pic:cNvPicPr/>
                              <pic:nvPr/>
                            </pic:nvPicPr>
                            <pic:blipFill>
                              <a:blip r:embed="rId27"/>
                              <a:stretch/>
                            </pic:blipFill>
                            <pic:spPr bwMode="auto">
                              <a:xfrm>
                                <a:off x="0" y="0"/>
                                <a:ext cx="947420" cy="636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6.2pt;mso-position-horizontal:absolute;mso-position-vertical-relative:text;margin-top:31.8pt;mso-position-vertical:absolute;width:74.6pt;height:50.1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沙发1+1+3；单人：920*930*770mm，三人：1920*930*770mm；</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1、西皮面材，柔软贴手，透气性好。</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2、海绵：海绵密度：35-55度；内采用高弹力定型海绵，拉伸强度为110kPa，伸长率为160%，回弹率为40%，75%压缩永久不变形率为5%。可防氧化、防碎，经过HD测试，不变形。</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3、框架：实木框架，经熏蒸处理，防霉、防虫。</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4、底座：不锈钢钢架。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5、茶几尺寸：1200*600*430mm。</w:t>
            </w:r>
            <w:r/>
          </w:p>
          <w:p>
            <w:pPr>
              <w:pStyle w:val="893"/>
              <w:rPr>
                <w:rFonts w:hint="default"/>
                <w:color w:val="auto"/>
                <w:highlight w:val="none"/>
                <w:lang w:val="en-US"/>
              </w:rPr>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注：尺寸允许偏差±5</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教师宿舍（含宿管）家具</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292735</wp:posOffset>
                      </wp:positionV>
                      <wp:extent cx="911860" cy="642620"/>
                      <wp:effectExtent l="0" t="0" r="2540" b="5080"/>
                      <wp:wrapNone/>
                      <wp:docPr id="21" name="ID_626F90DE7B29424C8065A1C84705821C"/>
                      <wp:cNvGraphicFramePr/>
                      <a:graphic xmlns:a="http://schemas.openxmlformats.org/drawingml/2006/main">
                        <a:graphicData uri="http://schemas.openxmlformats.org/drawingml/2006/picture">
                          <pic:pic xmlns:pic="http://schemas.openxmlformats.org/drawingml/2006/picture">
                            <pic:nvPicPr>
                              <pic:cNvPr id="113" name="ID_626F90DE7B29424C8065A1C84705821C"/>
                              <pic:cNvPicPr/>
                              <pic:nvPr/>
                            </pic:nvPicPr>
                            <pic:blipFill>
                              <a:blip r:embed="rId28"/>
                              <a:stretch/>
                            </pic:blipFill>
                            <pic:spPr bwMode="auto">
                              <a:xfrm>
                                <a:off x="0" y="0"/>
                                <a:ext cx="911860" cy="642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7.4pt;mso-position-horizontal:absolute;mso-position-vertical-relative:text;margin-top:23.0pt;mso-position-vertical:absolute;width:71.8pt;height:50.6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1200*2000*450（mm）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1、基材：E0级实木多层板，甲醛释放量≤0.050mg/m³；</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2、面材：优质耐磨三聚氰胺浸渍饰面，纹理清晰，色泽自然；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3、封边：同色PVC封边，厚度≥1.5mm，修边圆润光滑，封边表面无裂纹、脱胶或鼓泡现象；</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4、配置：靠背板厚度≥25mm，其他板材厚度≥18mm；板框结构，铺板二段可活动组成，铺板下方带框架；铺板开有透气孔。</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131445</wp:posOffset>
                      </wp:positionV>
                      <wp:extent cx="911860" cy="480060"/>
                      <wp:effectExtent l="0" t="0" r="2540" b="15240"/>
                      <wp:wrapNone/>
                      <wp:docPr id="22" name="ID_0D1FCA4113A34F01BE85515CDB2FD2A5"/>
                      <wp:cNvGraphicFramePr/>
                      <a:graphic xmlns:a="http://schemas.openxmlformats.org/drawingml/2006/main">
                        <a:graphicData uri="http://schemas.openxmlformats.org/drawingml/2006/picture">
                          <pic:pic xmlns:pic="http://schemas.openxmlformats.org/drawingml/2006/picture">
                            <pic:nvPicPr>
                              <pic:cNvPr id="115" name="ID_0D1FCA4113A34F01BE85515CDB2FD2A5"/>
                              <pic:cNvPicPr/>
                              <pic:nvPr/>
                            </pic:nvPicPr>
                            <pic:blipFill>
                              <a:blip r:embed="rId29"/>
                              <a:stretch/>
                            </pic:blipFill>
                            <pic:spPr bwMode="auto">
                              <a:xfrm>
                                <a:off x="0" y="0"/>
                                <a:ext cx="911860"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5.8pt;mso-position-horizontal:absolute;mso-position-vertical-relative:text;margin-top:10.3pt;mso-position-vertical:absolute;width:71.8pt;height:37.8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1200*2000*50（mm）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正面：1、抗菌防螨阻燃针织面料；2、三维无胶棉；3、高回弹超软海绵；4、无纺布；5、高密度海绵；6、蛋形海绵；弹簧；7、静音独袋弹簧；</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反面：8、高密度纤维毡；9、无纺布；10、圆泡海绵；11、三维无胶棉；12、抗菌防螨阻燃针织面料。</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022"/>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118110</wp:posOffset>
                      </wp:positionH>
                      <wp:positionV relativeFrom="paragraph">
                        <wp:posOffset>61595</wp:posOffset>
                      </wp:positionV>
                      <wp:extent cx="883920" cy="835025"/>
                      <wp:effectExtent l="0" t="0" r="11430" b="3175"/>
                      <wp:wrapNone/>
                      <wp:docPr id="23" name="ID_7FE3256F5A714E628084B4890E620174"/>
                      <wp:cNvGraphicFramePr/>
                      <a:graphic xmlns:a="http://schemas.openxmlformats.org/drawingml/2006/main">
                        <a:graphicData uri="http://schemas.openxmlformats.org/drawingml/2006/picture">
                          <pic:pic xmlns:pic="http://schemas.openxmlformats.org/drawingml/2006/picture">
                            <pic:nvPicPr>
                              <pic:cNvPr id="123" name="ID_7FE3256F5A714E628084B4890E620174"/>
                              <pic:cNvPicPr/>
                              <pic:nvPr/>
                            </pic:nvPicPr>
                            <pic:blipFill>
                              <a:blip r:embed="rId30"/>
                              <a:stretch/>
                            </pic:blipFill>
                            <pic:spPr bwMode="auto">
                              <a:xfrm>
                                <a:off x="0" y="0"/>
                                <a:ext cx="883920" cy="835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9.3pt;mso-position-horizontal:absolute;mso-position-vertical-relative:text;margin-top:4.8pt;mso-position-vertical:absolute;width:69.6pt;height:65.8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400*400*450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1、基材：E0级实木多层板，甲醛释放量≤0.050mg/m³；</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2、面材：优质耐磨三聚氰胺浸渍饰面，纹理清晰，色泽自然；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3、封边：同色PVC封边，厚度≥1.5mm，修边圆润光滑，封边表面无裂纹、脱胶或鼓泡现象；其中左右侧板三边包铝边；</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4、五金：均采用五金配件，静音阻尼，开合顺畅；</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5、配置：所有板材厚度≥18mm；左右侧板底部带调节脚，调节高度≥20mm；带抽屉，下方为储物开放区。</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294640</wp:posOffset>
                      </wp:positionH>
                      <wp:positionV relativeFrom="paragraph">
                        <wp:posOffset>39370</wp:posOffset>
                      </wp:positionV>
                      <wp:extent cx="538480" cy="915035"/>
                      <wp:effectExtent l="0" t="0" r="13970" b="18415"/>
                      <wp:wrapNone/>
                      <wp:docPr id="24" name="ID_792F9121347A485DA99A35608DDFC57D"/>
                      <wp:cNvGraphicFramePr/>
                      <a:graphic xmlns:a="http://schemas.openxmlformats.org/drawingml/2006/main">
                        <a:graphicData uri="http://schemas.openxmlformats.org/drawingml/2006/picture">
                          <pic:pic xmlns:pic="http://schemas.openxmlformats.org/drawingml/2006/picture">
                            <pic:nvPicPr>
                              <pic:cNvPr id="124" name="ID_792F9121347A485DA99A35608DDFC57D"/>
                              <pic:cNvPicPr/>
                              <pic:nvPr/>
                            </pic:nvPicPr>
                            <pic:blipFill>
                              <a:blip r:embed="rId31"/>
                              <a:stretch/>
                            </pic:blipFill>
                            <pic:spPr bwMode="auto">
                              <a:xfrm>
                                <a:off x="0" y="0"/>
                                <a:ext cx="538480"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3.2pt;mso-position-horizontal:absolute;mso-position-vertical-relative:text;margin-top:3.1pt;mso-position-vertical:absolute;width:42.4pt;height:72.0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800*600*2400（mm）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1、基材：E0级实木多层板，甲醛释放量≤0.050mg/m³；</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2、面材：优质耐磨三聚氰胺浸渍饰面，纹理清晰，色泽自然；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3、封边：同色PVC封边，厚度≥1.5mm，修边圆润光滑，封边表面无裂纹、脱胶或鼓泡现象；其中左右侧板三边包铝边；</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4、五金：均采用五金配件，静音阻尼，开合顺畅；</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5、配置：所有板材厚度≥18mm；左右侧板底部带调节脚，调节高度≥20mm；带抽屉，下方为储物开放区。</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值班桌</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236855</wp:posOffset>
                      </wp:positionH>
                      <wp:positionV relativeFrom="paragraph">
                        <wp:posOffset>54610</wp:posOffset>
                      </wp:positionV>
                      <wp:extent cx="666115" cy="642620"/>
                      <wp:effectExtent l="0" t="0" r="635" b="5080"/>
                      <wp:wrapNone/>
                      <wp:docPr id="25" name="ID_6EE130618152488FBD7997121464B978"/>
                      <wp:cNvGraphicFramePr/>
                      <a:graphic xmlns:a="http://schemas.openxmlformats.org/drawingml/2006/main">
                        <a:graphicData uri="http://schemas.openxmlformats.org/drawingml/2006/picture">
                          <pic:pic xmlns:pic="http://schemas.openxmlformats.org/drawingml/2006/picture">
                            <pic:nvPicPr>
                              <pic:cNvPr id="125" name="ID_6EE130618152488FBD7997121464B978"/>
                              <pic:cNvPicPr/>
                              <pic:nvPr/>
                            </pic:nvPicPr>
                            <pic:blipFill>
                              <a:blip r:embed="rId32"/>
                              <a:stretch/>
                            </pic:blipFill>
                            <pic:spPr bwMode="auto">
                              <a:xfrm>
                                <a:off x="0" y="0"/>
                                <a:ext cx="666114" cy="642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18.6pt;mso-position-horizontal:absolute;mso-position-vertical-relative:text;margin-top:4.3pt;mso-position-vertical:absolute;width:52.4pt;height:50.6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1200*600*750（mm）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1、基材：E0级实木多层板，甲醛释放量≤0.050mg/m³；</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2、面材：优质耐磨三聚氰胺浸渍饰面，纹理清晰，色泽自然；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3、封边：同色PVC封边，厚度≥1.5mm，修边圆润光滑，封边表面无裂纹、脱胶或鼓泡现象；其中左右侧板三边包铝边；</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4、配置：所有板材厚度≥18mm；</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值班椅</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212725</wp:posOffset>
                      </wp:positionH>
                      <wp:positionV relativeFrom="paragraph">
                        <wp:posOffset>73660</wp:posOffset>
                      </wp:positionV>
                      <wp:extent cx="633095" cy="709930"/>
                      <wp:effectExtent l="0" t="0" r="14604" b="13970"/>
                      <wp:wrapNone/>
                      <wp:docPr id="26" name="ID_69C63A4F341B4EB4BD0A72AA7C200FC9"/>
                      <wp:cNvGraphicFramePr/>
                      <a:graphic xmlns:a="http://schemas.openxmlformats.org/drawingml/2006/main">
                        <a:graphicData uri="http://schemas.openxmlformats.org/drawingml/2006/picture">
                          <pic:pic xmlns:pic="http://schemas.openxmlformats.org/drawingml/2006/picture">
                            <pic:nvPicPr>
                              <pic:cNvPr id="117" name="ID_69C63A4F341B4EB4BD0A72AA7C200FC9"/>
                              <pic:cNvPicPr/>
                              <pic:nvPr/>
                            </pic:nvPicPr>
                            <pic:blipFill>
                              <a:blip r:embed="rId33"/>
                              <a:stretch/>
                            </pic:blipFill>
                            <pic:spPr bwMode="auto">
                              <a:xfrm>
                                <a:off x="0" y="0"/>
                                <a:ext cx="63309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16.8pt;mso-position-horizontal:absolute;mso-position-vertical-relative:text;margin-top:5.8pt;mso-position-vertical:absolute;width:49.8pt;height:55.9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1、全橡胶木支架，经过消甲醛处理,甲醛释放量均优于环保水平,保证了家具的环保安全和无污染:结构:</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2、油漆:采用台湾“大宝”环保油漆，经五底三面油漆工艺处理。</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3、其他:全实木脚架。</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7855"/>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宿舍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家具</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组合式学生床（三人位，含公寓床体和床下组合柜、书桌椅）</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86995</wp:posOffset>
                      </wp:positionH>
                      <wp:positionV relativeFrom="paragraph">
                        <wp:posOffset>2144395</wp:posOffset>
                      </wp:positionV>
                      <wp:extent cx="946785" cy="936625"/>
                      <wp:effectExtent l="0" t="0" r="5715" b="15875"/>
                      <wp:wrapNone/>
                      <wp:docPr id="27" name="ID_0FFC4AD85E41403B9641C081CA2447A0"/>
                      <wp:cNvGraphicFramePr/>
                      <a:graphic xmlns:a="http://schemas.openxmlformats.org/drawingml/2006/main">
                        <a:graphicData uri="http://schemas.openxmlformats.org/drawingml/2006/picture">
                          <pic:pic xmlns:pic="http://schemas.openxmlformats.org/drawingml/2006/picture">
                            <pic:nvPicPr>
                              <pic:cNvPr id="120" name="ID_0FFC4AD85E41403B9641C081CA2447A0"/>
                              <pic:cNvPicPr/>
                              <pic:nvPr/>
                            </pic:nvPicPr>
                            <pic:blipFill>
                              <a:blip r:embed="rId34"/>
                              <a:stretch/>
                            </pic:blipFill>
                            <pic:spPr bwMode="auto">
                              <a:xfrm>
                                <a:off x="0" y="0"/>
                                <a:ext cx="94678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6.8pt;mso-position-horizontal:absolute;mso-position-vertical-relative:text;margin-top:168.8pt;mso-position-vertical:absolute;width:74.5pt;height:73.8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5870*920*2850（mm）（含蚊帐架高度）</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numPr>
                <w:ilvl w:val="0"/>
                <w:numId w:val="6"/>
              </w:num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公寓床</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床立柱：采用闭口碳素型材管（为保证产品安全性能，不能使用开口型材），规格:65mm*65mm，材料厚度≥1.2mm（外观尺寸偏差范围允许±5mm，材料厚度不允许负偏离），成型后外侧圆弧处理，防止学生磕碰，确保其牢固性、安全性，敲打无效，与床横梁挂件采用三个面接触下挂式连接（无螺栓）</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中立柱：采用闭口碳素型材管（为保证产品安全性能，不能使用开口型材），规格：40mm*60mm，材料厚度≥1.2mm（外观尺寸偏差范围允许±5mm，材料厚度不允许负偏离），成型后外侧圆弧处理，防止学生磕碰，确保其牢固性、安全性更高，敲打无效，与床横梁挂件采用三个面接触下挂式连接（无螺栓）。</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床横梁：采用闭口碳素型材管（为保证产品安全性能，不能使用开口型材），材料厚度≥1.2mm（外观尺寸偏差范围允许±2mm,材料厚度不允许负偏离），管材成型后截面形状为多边型，床横梁内侧分别有5个矩形孔位，用于安装6根床支撑，床横梁内侧直面高度47mm，横梁上沿厚度25mm，横梁下沿厚度35mm,，可预防碰伤，安全性更高，起保护作用，敲打无效。</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床支撑：采用闭口碳素型材管（为保证产品安全性能，不能使用开口型材），规格:32mm*25mm，材料厚度≥1.2mm（外观尺寸偏差范围允许±2mm，材料厚度不允许负偏离），支撑两侧带有加强筋，增加韧性，支撑底部带圆弧处理，防止学生磕碰，上方为直边，宽度25mm，整体增加其牢固性、安全性更高，敲打无效，每位采用5根。</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5、卡式挂件结构：挂件采用三个面接触下挂式连接（无螺栓），采用2mm 碳素冷轧钢板一次性冲压成型，规格：20mm*20mm*20mm*137mm（外观尺寸偏差范围允许±2mm,材料厚度不允许负偏离），“H”型卡式连接，整体全隐装，立柱上经数控冲床加工3个连接孔，通过与挂片无缝式下压连接，实现使用后越用越紧的状态。</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6、床梯及踏板：</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爬梯主脚柱采用32mm碳素圆管弯曲而成，管材厚1.2mm，爬梯整体弯曲≥二次，上端可做扶手使用，下端有一定斜度，方便上下爬梯，踏板底部配20mm方管，壁厚0.9mm，增加牢固性。（外观尺寸偏差范围允许±2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踏板规格材质：长400mm*宽80mm，采用冷轧板1.2mm厚一次性冲压成型，不得拼接、敲打、无任何焊点！踏板表面卡扣一条长325mm*宽33mm一次性注塑软性夜光防滑塑料垫，防止学生上下梯安全作用。（外观尺寸偏差范围允许±2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（3）落地防潮脚套：采用PE塑料一次性注塑成型高50mm内外式脚套，牢固性更强，爬梯下部连接方式采用直径19mm圆管，壁厚0.9mm，圆管与中立柱采用螺丝固定</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7、前护栏：长1400mm*宽390mm，管材采用23mm*23mm*1.2mm高强度碳素钢板一次冲压成型后焊接成型，护栏上部为钢制镂空设计，下部内嵌一块16mm厚实木多层板，护栏支撑与横梁焊接固定。（外观尺寸偏差范围允许±2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8、其它钢材要求说明：</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（1）侧下短拉杆及后拉杆：采用20mm*40mm*0.9mm碳素方管。</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（2）侧护栏：短横梁采用25mm*50mm碳素方管及22mm圆管，竖料19mm圆管，壁厚0.9mm。下侧护栏加封一块16mm厚的实木多层板.（外观尺寸偏差范围允许±2mm,材料厚度不允许负偏离）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（3）PP塑料脚套：采用塑料环保超高分子量PP材料一次性注塑成型制作，脚套内外式结构与床立柱应结合紧密，牢靠，不脱落（3D打印)</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①工艺要求：采用网皱纹烤漆，型材表面经除油，去锈，磷化静电喷粉高温固化而成，热固性粉末喷塑，防锈，耐磨，防腐蚀，床架油漆涂面平整、光滑、无颗粒、气泡、渣点。</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②钢制工艺：按照GB/T3325-2008，C02保护焊，镀铜焊丝，焊接无灰渣、气孔、焊瘤：无脱焊、虚焊、焊穿、精细打磨、光洁平整。钢材首选；首钢、攀钢、新钢或同品质品牌钢材，钢材壁厚均指除漆面之外的厚度。</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③所有材质（含油漆、板材等）均需达到环保要求。</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9、实木床板：采用16mm厚杉木板拼接而成，经烘干、正反双面抛光处理，木材进行防虫、除脂、干燥处理，产品结构强度和外观美观牢固，材质符合国家标准要求，床板背面采用4根实木方条横杠钉制加固，符合相关质量和环保要求。（尺寸按实际空间制做）       </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二、公寓柜</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1、公寓柜整体尺寸：长1880mm*高1680mm*深600mm（尺寸按实际空间制作）</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2、公寓柜材质要求：书桌高度≥760mm，桌下柜一屉一柜，按整体配套确定书桌、书架、衣柜尺寸搭配。</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（1）写字桌面规格：长1210mm*宽600mm*厚25mm，均采用PVC高温热熔胶封边，板材之间要粘接牢固。（外观尺寸偏差范围允许±5mm,材料厚度不允许负偏离）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（2）书架：基材采用E0环保实木多层板，横面板材厚度≥16mm，竖直隔断板材厚度≥16mm，均采用PVC高温热熔胶封边，板材之间要粘接牢固，背板采用4.5mm厚环保饰面多层板。</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（3）桌下柜</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①抽屉挂面：长405mm*宽170mm*厚16mm，采用E0级16mm厚环实木多层板，均采用PVC高温热熔胶封边，板材之间要粘接牢固.（外观尺寸偏差范围允许±5mm,材料厚度不允许负偏离）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②柜下门：长405mm*宽490mm*厚16mm，采用E0级16mm厚环实木多层板，均采用PVC高温热熔胶封边，板材之间要粘接牢固.（外观尺寸偏差范围允许±5mm,材料厚度不允许负偏离）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③采用一屉一柜设计采用E0级16mm厚环实木多层板，均采用PVC高温热熔胶封边，板材之间要粘接牢固.，抽屉滑轨、柜门连接采用优质五金件。</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（4）衣柜：</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①大门规格：长1620mm*宽680mm*厚16mm，采用E0级16mm厚环实木多层板，均采用PVC高温热熔胶封边，板材之间要粘接牢固.（外观尺寸偏差范围允许±5mm,材料厚度不允许负偏离）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②柜体板材：PVC高温热熔胶封边，采用E0级16mm厚环实木多层板，背板采用4.5mm厚环保饰面多层板，衣柜上部加装≥直径19mm圆管，壁厚0.9mm厚304不锈钢挂衣杆。衣柜下部一层放置行李箱。</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（5）五金件：板材之间采用现代五金连接件形式，五金采用国内知名品牌三节承重滑道(无噪音、无脱落)、阻尼铰链等。</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6）防潮脚垫：采用一次性PP塑料注塑成‘L’型，规格：边长76mm*76mm*高76mm，厚度21mm，耐用防生锈，塑料（原材料为聚丙烯），环保，硬度高，韧性强，表面耐磨、耐划伤、抗污抗老化、抗压抗冲击。（外观尺寸偏差范围允许±2mm,材料厚度不允许负偏离）</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投标人须确保该产品的钢材涂层重金属含量要求达到：</w:t>
            </w:r>
            <w:r>
              <w:rPr>
                <w:rFonts w:hint="eastAsia" w:asciiTheme="minorEastAsia" w:hAnsiTheme="minorEastAsia" w:eastAsiaTheme="minorEastAsia" w:cstheme="minorEastAsia"/>
                <w:i w:val="0"/>
                <w:caps w:val="0"/>
                <w:color w:val="auto"/>
                <w:spacing w:val="0"/>
                <w:sz w:val="21"/>
                <w:szCs w:val="21"/>
                <w:highlight w:val="none"/>
                <w:shd w:val="clear" w:color="auto" w:fill="fcfcfc"/>
              </w:rPr>
              <w:t xml:space="preserve">可迁移重金属：铅≤90mg/kg，铬≤60mg/kg</w:t>
            </w:r>
            <w:r>
              <w:rPr>
                <w:rFonts w:hint="eastAsia" w:asciiTheme="minorEastAsia" w:hAnsiTheme="minorEastAsia" w:eastAsiaTheme="minorEastAsia" w:cstheme="minorEastAsia"/>
                <w:i w:val="0"/>
                <w:caps w:val="0"/>
                <w:color w:val="auto"/>
                <w:spacing w:val="0"/>
                <w:sz w:val="21"/>
                <w:szCs w:val="21"/>
                <w:highlight w:val="none"/>
                <w:shd w:val="clear" w:color="auto" w:fill="fcfcfc"/>
                <w:lang w:val="en-US" w:eastAsia="zh-CN"/>
              </w:rPr>
              <w:t xml:space="preserve">。</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keepLines w:val="0"/>
              <w:keepNext w:val="0"/>
              <w:pageBreakBefore w:val="0"/>
              <w:spacing w:line="260" w:lineRule="exact"/>
              <w:widowControl w:val="off"/>
              <w:rPr>
                <w:rFonts w:hint="eastAsia" w:asciiTheme="minorEastAsia" w:hAnsiTheme="minorEastAsia" w:eastAsiaTheme="minorEastAsia" w:cstheme="minorEastAsia"/>
                <w:color w:val="auto"/>
                <w:sz w:val="21"/>
                <w:szCs w:val="21"/>
                <w:highlight w:val="none"/>
                <w:lang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投标人须确保该产品的</w:t>
            </w:r>
            <w:r>
              <w:rPr>
                <w:rFonts w:hint="eastAsia" w:asciiTheme="minorEastAsia" w:hAnsiTheme="minorEastAsia" w:eastAsiaTheme="minorEastAsia" w:cstheme="minorEastAsia"/>
                <w:color w:val="auto"/>
                <w:sz w:val="21"/>
                <w:szCs w:val="21"/>
                <w:highlight w:val="none"/>
              </w:rPr>
              <w:t xml:space="preserve">木质部件</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包括但不限于：床板、</w:t>
            </w:r>
            <w:r>
              <w:rPr>
                <w:rFonts w:hint="eastAsia" w:asciiTheme="minorEastAsia" w:hAnsiTheme="minorEastAsia" w:eastAsiaTheme="minorEastAsia" w:cstheme="minorEastAsia"/>
                <w:color w:val="auto"/>
                <w:sz w:val="21"/>
                <w:szCs w:val="21"/>
                <w:highlight w:val="none"/>
              </w:rPr>
              <w:t xml:space="preserve">护栏</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桌面、柜体等</w:t>
            </w:r>
            <w:r>
              <w:rPr>
                <w:rFonts w:hint="eastAsia" w:asciiTheme="minorEastAsia" w:hAnsiTheme="minorEastAsia" w:eastAsiaTheme="minorEastAsia" w:cstheme="minorEastAsia"/>
                <w:color w:val="auto"/>
                <w:sz w:val="21"/>
                <w:szCs w:val="21"/>
                <w:highlight w:val="none"/>
                <w:lang w:eastAsia="zh-CN"/>
              </w:rPr>
              <w:t xml:space="preserve">）</w:t>
            </w:r>
            <w:r/>
          </w:p>
          <w:p>
            <w:pPr>
              <w:keepLines w:val="0"/>
              <w:keepNext w:val="0"/>
              <w:pageBreakBefore w:val="0"/>
              <w:spacing w:line="260" w:lineRule="exact"/>
              <w:widowControl w:val="off"/>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①甲醛释放量≤0.050mg/m³，满足</w:t>
            </w:r>
            <w:r>
              <w:rPr>
                <w:rFonts w:hint="eastAsia" w:asciiTheme="minorEastAsia" w:hAnsiTheme="minorEastAsia" w:eastAsiaTheme="minorEastAsia" w:cstheme="minorEastAsia"/>
                <w:color w:val="auto"/>
                <w:sz w:val="21"/>
                <w:szCs w:val="21"/>
                <w:highlight w:val="none"/>
              </w:rPr>
              <w:t xml:space="preserve">GB 39600-2021</w:t>
            </w:r>
            <w:r>
              <w:rPr>
                <w:rFonts w:hint="eastAsia" w:asciiTheme="minorEastAsia" w:hAnsiTheme="minorEastAsia" w:eastAsiaTheme="minorEastAsia" w:cstheme="minorEastAsia"/>
                <w:color w:val="auto"/>
                <w:sz w:val="21"/>
                <w:szCs w:val="21"/>
                <w:highlight w:val="none"/>
                <w:lang w:val="en-US" w:eastAsia="zh-CN"/>
              </w:rPr>
              <w:t xml:space="preserve">标准；</w:t>
            </w:r>
            <w:r/>
          </w:p>
          <w:p>
            <w:pPr>
              <w:pStyle w:val="893"/>
              <w:keepLines w:val="0"/>
              <w:keepNext w:val="0"/>
              <w:pageBreakBefore w:val="0"/>
              <w:spacing w:line="260" w:lineRule="exact"/>
              <w:widowControl w:val="off"/>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②苯系物含量，</w:t>
            </w:r>
            <w:r>
              <w:rPr>
                <w:rFonts w:hint="eastAsia" w:asciiTheme="minorEastAsia" w:hAnsiTheme="minorEastAsia" w:eastAsiaTheme="minorEastAsia" w:cstheme="minorEastAsia"/>
                <w:color w:val="auto"/>
                <w:sz w:val="21"/>
                <w:szCs w:val="21"/>
                <w:highlight w:val="none"/>
              </w:rPr>
              <w:t xml:space="preserve">苯≤0.0</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mg/m³</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满足GB 18584-2024标准；</w:t>
            </w:r>
            <w:r/>
          </w:p>
          <w:p>
            <w:pPr>
              <w:keepLines w:val="0"/>
              <w:keepNext w:val="0"/>
              <w:pageBreakBefore w:val="0"/>
              <w:spacing w:line="260" w:lineRule="exact"/>
              <w:widowControl w:val="off"/>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③</w:t>
            </w:r>
            <w:r>
              <w:rPr>
                <w:rFonts w:hint="eastAsia" w:asciiTheme="minorEastAsia" w:hAnsiTheme="minorEastAsia" w:eastAsiaTheme="minorEastAsia" w:cstheme="minorEastAsia"/>
                <w:color w:val="auto"/>
                <w:sz w:val="21"/>
                <w:szCs w:val="21"/>
                <w:highlight w:val="none"/>
              </w:rPr>
              <w:t xml:space="preserve">TVOC≤0.</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mg/m³</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满足GB 18584-2024标准；</w:t>
            </w:r>
            <w:r/>
          </w:p>
          <w:p>
            <w:pPr>
              <w:pStyle w:val="893"/>
              <w:numPr>
                <w:ilvl w:val="0"/>
                <w:numId w:val="0"/>
              </w:numPr>
              <w:rPr>
                <w:rFonts w:hint="eastAsia"/>
                <w:color w:val="auto"/>
                <w:highlight w:val="none"/>
              </w:rPr>
            </w:pPr>
            <w:r>
              <w:rPr>
                <w:rFonts w:hint="eastAsia" w:asciiTheme="minorEastAsia" w:hAnsiTheme="minorEastAsia" w:eastAsiaTheme="minorEastAsia" w:cstheme="minorEastAsia"/>
                <w:color w:val="auto"/>
                <w:sz w:val="21"/>
                <w:szCs w:val="21"/>
                <w:highlight w:val="none"/>
                <w:lang w:val="en-US" w:eastAsia="zh-CN"/>
              </w:rPr>
              <w:t xml:space="preserve">④</w:t>
            </w:r>
            <w:r>
              <w:rPr>
                <w:rFonts w:hint="eastAsia" w:asciiTheme="minorEastAsia" w:hAnsiTheme="minorEastAsia" w:eastAsiaTheme="minorEastAsia" w:cstheme="minorEastAsia"/>
                <w:color w:val="auto"/>
                <w:sz w:val="21"/>
                <w:szCs w:val="21"/>
                <w:highlight w:val="none"/>
              </w:rPr>
              <w:t xml:space="preserve">阻燃性</w:t>
            </w:r>
            <w:r>
              <w:rPr>
                <w:rFonts w:hint="eastAsia" w:asciiTheme="minorEastAsia" w:hAnsiTheme="minorEastAsia" w:eastAsiaTheme="minorEastAsia" w:cstheme="minorEastAsia"/>
                <w:color w:val="auto"/>
                <w:sz w:val="21"/>
                <w:szCs w:val="21"/>
                <w:highlight w:val="none"/>
                <w:lang w:val="en-US" w:eastAsia="zh-CN"/>
              </w:rPr>
              <w:t xml:space="preserve">须</w:t>
            </w:r>
            <w:r>
              <w:rPr>
                <w:rFonts w:hint="eastAsia" w:asciiTheme="minorEastAsia" w:hAnsiTheme="minorEastAsia" w:eastAsiaTheme="minorEastAsia" w:cstheme="minorEastAsia"/>
                <w:color w:val="auto"/>
                <w:sz w:val="21"/>
                <w:szCs w:val="21"/>
                <w:highlight w:val="none"/>
              </w:rPr>
              <w:t xml:space="preserve">达到阻燃</w:t>
            </w:r>
            <w:r>
              <w:rPr>
                <w:rFonts w:hint="eastAsia" w:asciiTheme="minorEastAsia" w:hAnsiTheme="minorEastAsia" w:eastAsiaTheme="minorEastAsia" w:cstheme="minorEastAsia"/>
                <w:color w:val="auto"/>
                <w:sz w:val="21"/>
                <w:szCs w:val="21"/>
                <w:highlight w:val="none"/>
                <w:lang w:val="en-US" w:eastAsia="zh-CN"/>
              </w:rPr>
              <w:t xml:space="preserve">B1</w:t>
            </w:r>
            <w:r>
              <w:rPr>
                <w:rFonts w:hint="eastAsia" w:asciiTheme="minorEastAsia" w:hAnsiTheme="minorEastAsia" w:eastAsiaTheme="minorEastAsia" w:cstheme="minorEastAsia"/>
                <w:color w:val="auto"/>
                <w:sz w:val="21"/>
                <w:szCs w:val="21"/>
                <w:highlight w:val="none"/>
              </w:rPr>
              <w:t xml:space="preserve">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满足GB 8624-2012标准。</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公寓凳</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64135</wp:posOffset>
                      </wp:positionH>
                      <wp:positionV relativeFrom="paragraph">
                        <wp:posOffset>454660</wp:posOffset>
                      </wp:positionV>
                      <wp:extent cx="987425" cy="681355"/>
                      <wp:effectExtent l="0" t="0" r="3175" b="4445"/>
                      <wp:wrapNone/>
                      <wp:docPr id="28" name="ID_45CB949BD490498F86EB43D9CE58BFD2"/>
                      <wp:cNvGraphicFramePr/>
                      <a:graphic xmlns:a="http://schemas.openxmlformats.org/drawingml/2006/main">
                        <a:graphicData uri="http://schemas.openxmlformats.org/drawingml/2006/picture">
                          <pic:pic xmlns:pic="http://schemas.openxmlformats.org/drawingml/2006/picture">
                            <pic:nvPicPr>
                              <pic:cNvPr id="118" name="ID_45CB949BD490498F86EB43D9CE58BFD2"/>
                              <pic:cNvPicPr/>
                              <pic:nvPr/>
                            </pic:nvPicPr>
                            <pic:blipFill>
                              <a:blip r:embed="rId35"/>
                              <a:stretch/>
                            </pic:blipFill>
                            <pic:spPr bwMode="auto">
                              <a:xfrm>
                                <a:off x="0" y="0"/>
                                <a:ext cx="987425"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5.0pt;mso-position-horizontal:absolute;mso-position-vertical-relative:text;margin-top:35.8pt;mso-position-vertical:absolute;width:77.8pt;height:53.6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根据实际情况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1、凳面材质尺寸：采用厚20mm厚实木多层板（表层采用防火板贴面）经优质PP工程塑料一次性注塑封边，无接头，抗压、耐磨、耐冲击。规格：长390mm*宽290mm*厚20mm，凳面上下左右四面带有波浪线设计，凹深5mm，增加美观舒适度，符合人体工效学及人性化设计，便于学生阅读，保护视力,凳面采用平头马车固定。（外观尺寸偏差范围允许±2mm,材料厚度不允许负偏离）</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2、钢架:采用优质20mm*25mm碳素方管制作，壁厚1.2mm，拉杆采用优质20mm*20mm方管，壁厚0.9mm.底部安装静音内塞。</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投标人须确保该产品的凳面的实木多层板，甲醛释放量≤0.050mg/m³，满足GB 39600-2021标准。</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家具</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26035</wp:posOffset>
                      </wp:positionH>
                      <wp:positionV relativeFrom="paragraph">
                        <wp:posOffset>235585</wp:posOffset>
                      </wp:positionV>
                      <wp:extent cx="1042670" cy="562610"/>
                      <wp:effectExtent l="0" t="0" r="5080" b="8890"/>
                      <wp:wrapNone/>
                      <wp:docPr id="29" name="ID_4189F136B3784CF3BD0C21EE45309BFD"/>
                      <wp:cNvGraphicFramePr/>
                      <a:graphic xmlns:a="http://schemas.openxmlformats.org/drawingml/2006/main">
                        <a:graphicData uri="http://schemas.openxmlformats.org/drawingml/2006/picture">
                          <pic:pic xmlns:pic="http://schemas.openxmlformats.org/drawingml/2006/picture">
                            <pic:nvPicPr>
                              <pic:cNvPr id="119" name="ID_4189F136B3784CF3BD0C21EE45309BFD"/>
                              <pic:cNvPicPr/>
                              <pic:nvPr/>
                            </pic:nvPicPr>
                            <pic:blipFill>
                              <a:blip r:embed="rId36"/>
                              <a:stretch/>
                            </pic:blipFill>
                            <pic:spPr bwMode="auto">
                              <a:xfrm>
                                <a:off x="0" y="0"/>
                                <a:ext cx="104267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0pt;mso-position-horizontal:absolute;mso-position-vertical-relative:text;margin-top:18.6pt;mso-position-vertical:absolute;width:82.1pt;height:44.3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1600*1200*750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四连体餐桌椅：主管50*50方管1.35mm厚，副管20*40扁方管1.0mm厚，桌面框架拆装式，2个铁板折弯，为15cm*2cm*4cm，人字链接件为14cm*5cm*5cm，3个孔链接。</w:t>
            </w:r>
            <w:r>
              <w:rPr>
                <w:rFonts w:hint="eastAsia" w:asciiTheme="majorEastAsia" w:hAnsiTheme="majorEastAsia" w:eastAsiaTheme="majorEastAsia" w:cstheme="majorEastAsia"/>
                <w:i w:val="0"/>
                <w:iCs w:val="0"/>
                <w:color w:val="auto"/>
                <w:sz w:val="18"/>
                <w:szCs w:val="18"/>
                <w:highlight w:val="none"/>
                <w:u w:val="none"/>
                <w:lang w:val="en-US" w:eastAsia="zh-CN" w:bidi="ar"/>
              </w:rPr>
              <w:br/>
            </w: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桌面为120*60*1.2CM厚岩</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站立桌</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321310</wp:posOffset>
                      </wp:positionH>
                      <wp:positionV relativeFrom="paragraph">
                        <wp:posOffset>48260</wp:posOffset>
                      </wp:positionV>
                      <wp:extent cx="505460" cy="681990"/>
                      <wp:effectExtent l="0" t="0" r="8890" b="3810"/>
                      <wp:wrapNone/>
                      <wp:docPr id="30" name="ID_3088553FD74D4995916EE4D977304855"/>
                      <wp:cNvGraphicFramePr/>
                      <a:graphic xmlns:a="http://schemas.openxmlformats.org/drawingml/2006/main">
                        <a:graphicData uri="http://schemas.openxmlformats.org/drawingml/2006/picture">
                          <pic:pic xmlns:pic="http://schemas.openxmlformats.org/drawingml/2006/picture">
                            <pic:nvPicPr>
                              <pic:cNvPr id="121" name="ID_3088553FD74D4995916EE4D977304855"/>
                              <pic:cNvPicPr/>
                              <pic:nvPr/>
                            </pic:nvPicPr>
                            <pic:blipFill>
                              <a:blip r:embed="rId37"/>
                              <a:stretch/>
                            </pic:blipFill>
                            <pic:spPr bwMode="auto">
                              <a:xfrm>
                                <a:off x="0" y="0"/>
                                <a:ext cx="505460" cy="681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25.3pt;mso-position-horizontal:absolute;mso-position-vertical-relative:text;margin-top:3.8pt;mso-position-vertical:absolute;width:39.8pt;height:53.7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直径600*高1000mm</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直径600*高1000mm；台面选用E0级优质实木多层板，铁架。</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工业</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吧台桌椅</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180340</wp:posOffset>
                      </wp:positionH>
                      <wp:positionV relativeFrom="paragraph">
                        <wp:posOffset>73660</wp:posOffset>
                      </wp:positionV>
                      <wp:extent cx="723900" cy="708660"/>
                      <wp:effectExtent l="0" t="0" r="0" b="15240"/>
                      <wp:wrapNone/>
                      <wp:docPr id="31" name="ID_323E0814BCD94E0B92EFF5D166E70E37"/>
                      <wp:cNvGraphicFramePr/>
                      <a:graphic xmlns:a="http://schemas.openxmlformats.org/drawingml/2006/main">
                        <a:graphicData uri="http://schemas.openxmlformats.org/drawingml/2006/picture">
                          <pic:pic xmlns:pic="http://schemas.openxmlformats.org/drawingml/2006/picture">
                            <pic:nvPicPr>
                              <pic:cNvPr id="122" name="ID_323E0814BCD94E0B92EFF5D166E70E37"/>
                              <pic:cNvPicPr/>
                              <pic:nvPr/>
                            </pic:nvPicPr>
                            <pic:blipFill>
                              <a:blip r:embed="rId38"/>
                              <a:stretch/>
                            </pic:blipFill>
                            <pic:spPr bwMode="auto">
                              <a:xfrm>
                                <a:off x="0" y="0"/>
                                <a:ext cx="723900"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14.2pt;mso-position-horizontal:absolute;mso-position-vertical-relative:text;margin-top:5.8pt;mso-position-vertical:absolute;width:57.0pt;height:55.8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auto"/>
                <w:sz w:val="18"/>
                <w:szCs w:val="18"/>
                <w:highlight w:val="none"/>
                <w:u w:val="none"/>
              </w:rPr>
              <w:suppressLineNumbers w:val="0"/>
            </w:pPr>
            <w:r>
              <w:rPr>
                <w:rFonts w:hint="eastAsia" w:asciiTheme="majorEastAsia" w:hAnsiTheme="majorEastAsia" w:eastAsiaTheme="majorEastAsia" w:cstheme="majorEastAsia"/>
                <w:i w:val="0"/>
                <w:iCs w:val="0"/>
                <w:color w:val="auto"/>
                <w:sz w:val="18"/>
                <w:szCs w:val="18"/>
                <w:highlight w:val="none"/>
                <w:u w:val="none"/>
                <w:lang w:val="en-US" w:eastAsia="zh-CN" w:bidi="ar"/>
              </w:rPr>
              <w:t xml:space="preserve">分别是：4米，2.762米，7.2米，7.4米，6.923米，6.625米，宽度300mm；台面选用E0级优质实木多层板，铁架。定制。</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工业</w:t>
            </w:r>
            <w:r/>
          </w:p>
        </w:tc>
      </w:tr>
    </w:tbl>
    <w:p>
      <w:pPr>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三、商务要求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highlight w:val="none"/>
        </w:rPr>
        <w:t xml:space="preserve">服务要求</w:t>
      </w:r>
      <w:r>
        <w:rPr>
          <w:rFonts w:hint="eastAsia" w:ascii="宋体" w:hAnsi="宋体"/>
          <w:bCs/>
          <w:color w:val="auto"/>
          <w:sz w:val="24"/>
          <w:highlight w:val="none"/>
        </w:rPr>
        <w:t xml:space="preserve">：</w:t>
      </w:r>
      <w:r/>
    </w:p>
    <w:p>
      <w:pPr>
        <w:numPr>
          <w:ilvl w:val="0"/>
          <w:numId w:val="7"/>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本次招标的设备应提供不低于</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年的免费质保，供货时提供相关证明材料。质保时间自终验验收合格之日起算，免费质保期内应提供免除一切费用的售后服务。</w:t>
      </w:r>
      <w:r/>
    </w:p>
    <w:p>
      <w:pPr>
        <w:numPr>
          <w:ilvl w:val="0"/>
          <w:numId w:val="7"/>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服务时间的承诺：响应时间为24小时，修复时间为3个工作日，如不能在3个工作日内修复的则应提供备用设备。</w:t>
      </w:r>
      <w:r/>
    </w:p>
    <w:p>
      <w:pPr>
        <w:numPr>
          <w:ilvl w:val="0"/>
          <w:numId w:val="7"/>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7"/>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交货地点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江苏省宜兴第一中学周铁分校</w:t>
      </w:r>
      <w:r>
        <w:rPr>
          <w:rFonts w:hint="eastAsia" w:ascii="宋体" w:hAnsi="宋体"/>
          <w:bCs/>
          <w:color w:val="auto"/>
          <w:sz w:val="24"/>
          <w:highlight w:val="none"/>
          <w:lang w:val="en-US" w:eastAsia="zh-CN"/>
        </w:rPr>
        <w:t xml:space="preserve">指定地点</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交货期限</w:t>
      </w:r>
      <w:r>
        <w:rPr>
          <w:rFonts w:hint="eastAsia" w:ascii="宋体" w:hAnsi="宋体"/>
          <w:bCs/>
          <w:color w:val="auto"/>
          <w:sz w:val="24"/>
          <w:highlight w:val="none"/>
        </w:rPr>
        <w:t xml:space="preserve">：中标供应商自合同</w:t>
      </w:r>
      <w:r>
        <w:rPr>
          <w:rFonts w:hint="eastAsia" w:ascii="宋体" w:hAnsi="宋体"/>
          <w:bCs/>
          <w:color w:val="auto"/>
          <w:sz w:val="24"/>
          <w:highlight w:val="none"/>
          <w:lang w:val="en-US" w:eastAsia="zh-CN"/>
        </w:rPr>
        <w:t xml:space="preserve">签订后三十</w:t>
      </w:r>
      <w:r>
        <w:rPr>
          <w:rFonts w:hint="eastAsia" w:ascii="宋体" w:hAnsi="宋体"/>
          <w:bCs/>
          <w:color w:val="auto"/>
          <w:sz w:val="24"/>
          <w:highlight w:val="none"/>
        </w:rPr>
        <w:t xml:space="preserve">日内完成供货及安装。</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①</w:t>
      </w:r>
      <w:r>
        <w:rPr>
          <w:rFonts w:hint="eastAsia" w:ascii="宋体" w:hAnsi="宋体"/>
          <w:bCs/>
          <w:color w:val="auto"/>
          <w:sz w:val="24"/>
          <w:highlight w:val="none"/>
        </w:rPr>
        <w:t xml:space="preserve">采购人根据国家有关规定、招投标文件以及合同约定的内容于货到安装调试合格后</w:t>
      </w:r>
      <w:r>
        <w:rPr>
          <w:rFonts w:hint="eastAsia" w:ascii="宋体" w:hAnsi="宋体"/>
          <w:bCs/>
          <w:color w:val="auto"/>
          <w:sz w:val="24"/>
          <w:highlight w:val="none"/>
          <w:u w:val="single"/>
          <w:lang w:val="en-US" w:eastAsia="zh-CN"/>
        </w:rPr>
        <w:t xml:space="preserve"> 7</w:t>
      </w:r>
      <w:r>
        <w:rPr>
          <w:rFonts w:hint="eastAsia" w:ascii="宋体" w:hAnsi="宋体"/>
          <w:bCs/>
          <w:color w:val="auto"/>
          <w:sz w:val="24"/>
          <w:highlight w:val="none"/>
        </w:rPr>
        <w:t xml:space="preserve">个工作日内组织验收，具体验收办法详见</w:t>
      </w:r>
      <w:bookmarkStart w:id="89" w:name="OLE_LINK11"/>
      <w:r/>
      <w:bookmarkStart w:id="90" w:name="OLE_LINK10"/>
      <w:r/>
      <w:bookmarkStart w:id="91" w:name="OLE_LINK9"/>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w:t>
      </w:r>
      <w:bookmarkEnd w:id="89"/>
      <w:r/>
      <w:bookmarkEnd w:id="90"/>
      <w:r>
        <w:rPr>
          <w:rFonts w:hint="eastAsia" w:ascii="宋体" w:hAnsi="宋体"/>
          <w:color w:val="auto"/>
          <w:sz w:val="24"/>
          <w:highlight w:val="none"/>
        </w:rPr>
        <w:t xml:space="preserve">（</w:t>
      </w:r>
      <w:bookmarkStart w:id="92" w:name="OLE_LINK7"/>
      <w:r/>
      <w:bookmarkStart w:id="93" w:name="OLE_LINK15"/>
      <w:r>
        <w:rPr>
          <w:rFonts w:hint="eastAsia" w:ascii="宋体" w:hAnsi="宋体"/>
          <w:color w:val="auto"/>
          <w:sz w:val="24"/>
          <w:highlight w:val="none"/>
          <w:lang w:val="en-US" w:eastAsia="zh-CN"/>
        </w:rPr>
        <w:t xml:space="preserve">苏财规</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号</w:t>
      </w:r>
      <w:bookmarkEnd w:id="92"/>
      <w:r/>
      <w:bookmarkEnd w:id="93"/>
      <w:r>
        <w:rPr>
          <w:rFonts w:hint="eastAsia" w:ascii="宋体" w:hAnsi="宋体"/>
          <w:color w:val="auto"/>
          <w:sz w:val="24"/>
          <w:highlight w:val="none"/>
        </w:rPr>
        <w:t xml:space="preserve">）</w:t>
      </w:r>
      <w:bookmarkEnd w:id="91"/>
      <w:r>
        <w:rPr>
          <w:rFonts w:hint="eastAsia" w:ascii="宋体" w:hAnsi="宋体"/>
          <w:bCs/>
          <w:color w:val="auto"/>
          <w:sz w:val="24"/>
          <w:highlight w:val="none"/>
        </w:rPr>
        <w:t xml:space="preserve">。</w:t>
      </w:r>
      <w:bookmarkStart w:id="94" w:name="OLE_LINK232"/>
      <w:r>
        <w:rPr>
          <w:rFonts w:hint="eastAsia" w:ascii="宋体" w:hAnsi="宋体"/>
          <w:bCs/>
          <w:color w:val="auto"/>
          <w:sz w:val="24"/>
          <w:highlight w:val="none"/>
        </w:rPr>
        <w:t xml:space="preserve">本次</w:t>
      </w:r>
      <w:r>
        <w:rPr>
          <w:rFonts w:hint="eastAsia" w:ascii="宋体" w:hAnsi="宋体"/>
          <w:bCs/>
          <w:color w:val="auto"/>
          <w:sz w:val="24"/>
          <w:highlight w:val="none"/>
          <w:lang w:val="en-US" w:eastAsia="zh-CN"/>
        </w:rPr>
        <w:t xml:space="preserve">采购如涉及</w:t>
      </w:r>
      <w:r>
        <w:rPr>
          <w:rFonts w:hint="eastAsia" w:ascii="宋体" w:hAnsi="宋体"/>
          <w:bCs/>
          <w:color w:val="auto"/>
          <w:sz w:val="24"/>
          <w:highlight w:val="none"/>
        </w:rPr>
        <w:t xml:space="preserve">木家具材质及油漆</w:t>
      </w:r>
      <w:r>
        <w:rPr>
          <w:rFonts w:hint="eastAsia" w:ascii="宋体" w:hAnsi="宋体"/>
          <w:bCs/>
          <w:color w:val="auto"/>
          <w:sz w:val="24"/>
          <w:highlight w:val="none"/>
          <w:lang w:eastAsia="zh-CN"/>
        </w:rPr>
        <w:t xml:space="preserve">的，</w:t>
      </w:r>
      <w:r>
        <w:rPr>
          <w:rFonts w:hint="eastAsia" w:ascii="宋体" w:hAnsi="宋体"/>
          <w:bCs/>
          <w:color w:val="auto"/>
          <w:sz w:val="24"/>
          <w:highlight w:val="none"/>
        </w:rPr>
        <w:t xml:space="preserve">必须是环保产品且符合国家相关标准。采购人将根据中标供应商的供货及实际使用情况，对中标产品进行送检，若送检产品达不到标准要求的，所有检测费用及造成的相关后果均由中标供应商一并承担。</w:t>
      </w:r>
      <w:bookmarkEnd w:id="94"/>
      <w:r/>
      <w:r/>
    </w:p>
    <w:p>
      <w:pPr>
        <w:ind w:firstLine="480"/>
        <w:jc w:val="left"/>
        <w:spacing w:line="360" w:lineRule="auto"/>
        <w:rPr>
          <w:rFonts w:hint="default"/>
          <w:color w:val="auto"/>
          <w:highlight w:val="none"/>
          <w:lang w:val="en-US" w:eastAsia="zh-CN"/>
        </w:rPr>
      </w:pPr>
      <w:r>
        <w:rPr>
          <w:rFonts w:hint="eastAsia" w:ascii="宋体" w:hAnsi="宋体" w:eastAsia="宋体"/>
          <w:bCs/>
          <w:color w:val="auto"/>
          <w:sz w:val="24"/>
          <w:szCs w:val="22"/>
          <w:highlight w:val="none"/>
          <w:lang w:val="en-US" w:eastAsia="zh-CN"/>
        </w:rPr>
        <w:t xml:space="preserve">②</w:t>
      </w:r>
      <w:r>
        <w:rPr>
          <w:rFonts w:hint="eastAsia" w:ascii="宋体" w:hAnsi="宋体"/>
          <w:bCs/>
          <w:color w:val="auto"/>
          <w:sz w:val="24"/>
          <w:szCs w:val="22"/>
          <w:highlight w:val="none"/>
          <w:lang w:val="en-US" w:eastAsia="zh-CN"/>
        </w:rPr>
        <w:t xml:space="preserve">采购人其他要求</w:t>
      </w:r>
      <w:r>
        <w:rPr>
          <w:rFonts w:hint="eastAsia" w:ascii="宋体" w:hAnsi="宋体" w:eastAsia="宋体"/>
          <w:bCs/>
          <w:color w:val="auto"/>
          <w:sz w:val="24"/>
          <w:szCs w:val="22"/>
          <w:highlight w:val="none"/>
          <w:lang w:val="en-US" w:eastAsia="zh-CN"/>
        </w:rPr>
        <w:t xml:space="preserve">：</w:t>
      </w:r>
      <w:r/>
    </w:p>
    <w:p>
      <w:pPr>
        <w:numPr>
          <w:ilvl w:val="0"/>
          <w:numId w:val="8"/>
        </w:numPr>
        <w:ind w:left="42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货物交付时，中标人须随货提交同批次，</w:t>
      </w:r>
      <w:r>
        <w:rPr>
          <w:rFonts w:hint="default" w:ascii="宋体" w:hAnsi="宋体" w:eastAsia="宋体" w:cs="楷体_GB2312"/>
          <w:b/>
          <w:bCs/>
          <w:color w:val="auto"/>
          <w:sz w:val="24"/>
          <w:szCs w:val="24"/>
          <w:highlight w:val="none"/>
          <w:lang w:val="en-US" w:eastAsia="zh-CN"/>
        </w:rPr>
        <w:t xml:space="preserve">CMA</w:t>
      </w:r>
      <w:r>
        <w:rPr>
          <w:rFonts w:hint="eastAsia" w:ascii="宋体" w:hAnsi="宋体" w:cs="楷体_GB2312"/>
          <w:b/>
          <w:bCs/>
          <w:color w:val="auto"/>
          <w:sz w:val="24"/>
          <w:szCs w:val="24"/>
          <w:highlight w:val="none"/>
          <w:lang w:val="en-US" w:eastAsia="zh-CN"/>
        </w:rPr>
        <w:t xml:space="preserve">或</w:t>
      </w:r>
      <w:r>
        <w:rPr>
          <w:rFonts w:hint="default" w:ascii="宋体" w:hAnsi="宋体" w:eastAsia="宋体" w:cs="楷体_GB2312"/>
          <w:b/>
          <w:bCs/>
          <w:color w:val="auto"/>
          <w:sz w:val="24"/>
          <w:szCs w:val="24"/>
          <w:highlight w:val="none"/>
          <w:lang w:val="en-US" w:eastAsia="zh-CN"/>
        </w:rPr>
        <w:t xml:space="preserve">CNAS或省级及以上检验检测资质的第三方检测机构出具的有效检测报告</w:t>
      </w:r>
      <w:r>
        <w:rPr>
          <w:rFonts w:hint="default" w:ascii="宋体" w:hAnsi="宋体"/>
          <w:b/>
          <w:bCs w:val="0"/>
          <w:color w:val="auto"/>
          <w:sz w:val="24"/>
          <w:szCs w:val="22"/>
          <w:highlight w:val="none"/>
          <w:lang w:val="en-US" w:eastAsia="zh-CN"/>
        </w:rPr>
        <w:t xml:space="preserve">，报告检测项目需</w:t>
      </w:r>
      <w:r>
        <w:rPr>
          <w:rFonts w:hint="eastAsia" w:ascii="宋体" w:hAnsi="宋体"/>
          <w:b/>
          <w:bCs w:val="0"/>
          <w:color w:val="auto"/>
          <w:sz w:val="24"/>
          <w:szCs w:val="22"/>
          <w:highlight w:val="none"/>
          <w:lang w:val="en-US" w:eastAsia="zh-CN"/>
        </w:rPr>
        <w:t xml:space="preserve">涵盖本项目全部技术</w:t>
      </w:r>
      <w:r>
        <w:rPr>
          <w:rFonts w:hint="default" w:ascii="宋体" w:hAnsi="宋体"/>
          <w:b/>
          <w:bCs w:val="0"/>
          <w:color w:val="auto"/>
          <w:sz w:val="24"/>
          <w:szCs w:val="22"/>
          <w:highlight w:val="none"/>
          <w:lang w:val="en-US" w:eastAsia="zh-CN"/>
        </w:rPr>
        <w:t xml:space="preserve">参数</w:t>
      </w:r>
      <w:r>
        <w:rPr>
          <w:rFonts w:hint="eastAsia" w:ascii="宋体" w:hAnsi="宋体"/>
          <w:b/>
          <w:bCs w:val="0"/>
          <w:color w:val="auto"/>
          <w:sz w:val="24"/>
          <w:szCs w:val="22"/>
          <w:highlight w:val="none"/>
          <w:lang w:val="en-US" w:eastAsia="zh-CN"/>
        </w:rPr>
        <w:t xml:space="preserve">。</w:t>
      </w:r>
      <w:r/>
    </w:p>
    <w:p>
      <w:pPr>
        <w:numPr>
          <w:ilvl w:val="0"/>
          <w:numId w:val="8"/>
        </w:numPr>
        <w:ind w:left="42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采购人可对同批次产品抽样检验（含破坏性试验），相关费用均由中标人承担（已含在报价中）。若送检产品达不到标准要求的，中标人须限期更换全部不合格的产品，并承担由此产生的所有损失；整改复检仍不合格的，采购人有权解除合同并无条件退货退款，相关损失及法律责任由中标人承担。</w:t>
      </w:r>
      <w:r/>
    </w:p>
    <w:p>
      <w:pPr>
        <w:numPr>
          <w:ilvl w:val="0"/>
          <w:numId w:val="0"/>
        </w:numPr>
        <w:ind w:left="479" w:firstLine="0"/>
        <w:jc w:val="left"/>
        <w:spacing w:line="360" w:lineRule="auto"/>
        <w:rPr>
          <w:rFonts w:hint="eastAsia" w:ascii="宋体" w:hAnsi="宋体"/>
          <w:b/>
          <w:bCs w:val="0"/>
          <w:color w:val="auto"/>
          <w:sz w:val="24"/>
          <w:szCs w:val="22"/>
          <w:highlight w:val="none"/>
          <w:lang w:val="en-US" w:eastAsia="zh-CN"/>
        </w:rPr>
      </w:pPr>
      <w:r>
        <w:rPr>
          <w:rFonts w:hint="eastAsia" w:ascii="宋体" w:hAnsi="宋体"/>
          <w:b/>
          <w:bCs w:val="0"/>
          <w:color w:val="auto"/>
          <w:sz w:val="24"/>
          <w:szCs w:val="22"/>
          <w:highlight w:val="none"/>
          <w:lang w:val="en-US" w:eastAsia="zh-CN"/>
        </w:rPr>
        <w:t xml:space="preserve">3、家具安装完毕后，</w:t>
      </w:r>
      <w:r>
        <w:rPr>
          <w:rFonts w:hint="eastAsia" w:ascii="宋体" w:hAnsi="宋体" w:eastAsia="宋体"/>
          <w:b/>
          <w:bCs w:val="0"/>
          <w:color w:val="auto"/>
          <w:sz w:val="24"/>
          <w:szCs w:val="22"/>
          <w:highlight w:val="none"/>
          <w:lang w:val="en-US" w:eastAsia="zh-CN"/>
        </w:rPr>
        <w:t xml:space="preserve">中标人必须按照采购人要求随机进行空气质量检测并提供合格的检测报告</w:t>
      </w:r>
      <w:r>
        <w:rPr>
          <w:rFonts w:hint="eastAsia" w:ascii="宋体" w:hAnsi="宋体" w:eastAsia="宋体"/>
          <w:bCs/>
          <w:color w:val="auto"/>
          <w:sz w:val="24"/>
          <w:szCs w:val="22"/>
          <w:highlight w:val="none"/>
          <w:lang w:val="en-US" w:eastAsia="zh-CN"/>
        </w:rPr>
        <w:t xml:space="preserve">，</w:t>
      </w:r>
      <w:r>
        <w:rPr>
          <w:rFonts w:hint="eastAsia" w:ascii="宋体" w:hAnsi="宋体"/>
          <w:b/>
          <w:bCs w:val="0"/>
          <w:color w:val="auto"/>
          <w:sz w:val="24"/>
          <w:szCs w:val="22"/>
          <w:highlight w:val="none"/>
          <w:lang w:val="en-US" w:eastAsia="zh-CN"/>
        </w:rPr>
        <w:t xml:space="preserve">执行标准为GB/T 18883-2022，检测内容包含但不限于甲醛释放量、苯、TVOC等，检测费用由中标人承担。首次检测不合格的，中标人须按要求整改并申请复检；复检仍不达标的，采购人有权解除合同并无条件退货退款，相关损失及法律责任由中标人承担。</w:t>
      </w:r>
      <w:r/>
    </w:p>
    <w:p>
      <w:pPr>
        <w:ind w:firstLine="482"/>
        <w:jc w:val="left"/>
        <w:spacing w:line="360" w:lineRule="auto"/>
        <w:rPr>
          <w:rFonts w:hint="eastAsia" w:ascii="宋体" w:hAnsi="宋体" w:eastAsia="宋体"/>
          <w:bCs/>
          <w:color w:val="auto"/>
          <w:sz w:val="24"/>
          <w:highlight w:val="none"/>
          <w:lang w:val="en-US" w:eastAsia="zh-CN"/>
        </w:rPr>
      </w:pPr>
      <w:r>
        <w:rPr>
          <w:rFonts w:hint="eastAsia" w:ascii="宋体" w:hAnsi="宋体"/>
          <w:b/>
          <w:color w:val="auto"/>
          <w:sz w:val="24"/>
          <w:highlight w:val="none"/>
        </w:rPr>
        <w:t xml:space="preserve">5、付款步骤：</w:t>
      </w:r>
      <w:r>
        <w:rPr>
          <w:rFonts w:hint="eastAsia" w:ascii="宋体" w:hAnsi="宋体"/>
          <w:b w:val="0"/>
          <w:bCs/>
          <w:color w:val="auto"/>
          <w:sz w:val="24"/>
          <w:highlight w:val="none"/>
        </w:rPr>
        <w:t xml:space="preserve">货到并完成安装调试之日起</w:t>
      </w:r>
      <w:r>
        <w:rPr>
          <w:rFonts w:hint="eastAsia" w:ascii="宋体" w:hAnsi="宋体"/>
          <w:b w:val="0"/>
          <w:bCs/>
          <w:color w:val="auto"/>
          <w:sz w:val="24"/>
          <w:highlight w:val="none"/>
          <w:lang w:val="en-US" w:eastAsia="zh-CN"/>
        </w:rPr>
        <w:t xml:space="preserve">10</w:t>
      </w:r>
      <w:r>
        <w:rPr>
          <w:rFonts w:hint="eastAsia" w:ascii="宋体" w:hAnsi="宋体"/>
          <w:b w:val="0"/>
          <w:bCs/>
          <w:color w:val="auto"/>
          <w:sz w:val="24"/>
          <w:highlight w:val="none"/>
        </w:rPr>
        <w:t xml:space="preserve">日内支付合同价的50%</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验收合格</w:t>
      </w:r>
      <w:r>
        <w:rPr>
          <w:rFonts w:hint="eastAsia" w:ascii="宋体" w:hAnsi="宋体"/>
          <w:b w:val="0"/>
          <w:bCs/>
          <w:color w:val="auto"/>
          <w:sz w:val="24"/>
          <w:highlight w:val="none"/>
          <w:lang w:val="en-US" w:eastAsia="zh-CN"/>
        </w:rPr>
        <w:t xml:space="preserve">之日起60</w:t>
      </w:r>
      <w:r>
        <w:rPr>
          <w:rFonts w:hint="eastAsia" w:ascii="宋体" w:hAnsi="宋体"/>
          <w:b w:val="0"/>
          <w:bCs/>
          <w:color w:val="auto"/>
          <w:sz w:val="24"/>
          <w:highlight w:val="none"/>
        </w:rPr>
        <w:t xml:space="preserve">日内支付合同余款</w:t>
      </w:r>
      <w:r>
        <w:rPr>
          <w:rFonts w:hint="eastAsia" w:ascii="宋体" w:hAnsi="宋体"/>
          <w:b w:val="0"/>
          <w:bCs/>
          <w:color w:val="auto"/>
          <w:sz w:val="24"/>
          <w:highlight w:val="none"/>
          <w:lang w:eastAsia="zh-CN"/>
        </w:rPr>
        <w:t xml:space="preserve">。</w:t>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四、实质性要求</w:t>
      </w:r>
      <w:bookmarkStart w:id="95" w:name="OLE_LINK56"/>
      <w:r/>
      <w:bookmarkEnd w:id="95"/>
      <w:r/>
      <w:r/>
    </w:p>
    <w:p>
      <w:pPr>
        <w:ind w:firstLine="480"/>
        <w:jc w:val="left"/>
        <w:spacing w:line="360" w:lineRule="auto"/>
        <w:rPr>
          <w:rFonts w:hint="eastAsia" w:ascii="宋体" w:hAnsi="宋体"/>
          <w:color w:val="auto"/>
          <w:sz w:val="24"/>
          <w:highlight w:val="none"/>
        </w:rPr>
      </w:pPr>
      <w:r/>
      <w:bookmarkStart w:id="96" w:name="_Toc23355"/>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jc w:val="center"/>
        <w:keepLines w:val="0"/>
        <w:keepNext w:val="0"/>
        <w:pageBreakBefore w:val="0"/>
        <w:spacing w:before="464" w:after="464"/>
        <w:widowControl w:val="off"/>
        <w:rPr>
          <w:rFonts w:hint="eastAsia" w:ascii="黑体" w:hAnsi="黑体" w:eastAsia="黑体" w:cs="Times New Roman"/>
          <w:b w:val="0"/>
          <w:bCs w:val="0"/>
          <w:color w:val="auto"/>
          <w:sz w:val="36"/>
          <w:szCs w:val="36"/>
          <w:highlight w:val="none"/>
          <w:lang w:val="en-US" w:eastAsia="zh-CN" w:bidi="ar-SA"/>
        </w:rPr>
        <w:outlineLvl w:val="0"/>
      </w:pPr>
      <w:r>
        <w:rPr>
          <w:rFonts w:hint="eastAsia" w:ascii="黑体" w:hAnsi="黑体" w:eastAsia="黑体"/>
          <w:color w:val="auto"/>
          <w:sz w:val="28"/>
          <w:highlight w:val="none"/>
        </w:rPr>
        <w:br w:type="page" w:clear="all"/>
      </w:r>
      <w:bookmarkEnd w:id="96"/>
      <w:r/>
      <w:bookmarkStart w:id="97" w:name="_Toc157174691"/>
      <w:r/>
      <w:bookmarkStart w:id="98" w:name="_Toc17479"/>
      <w:r/>
      <w:bookmarkStart w:id="99" w:name="_Toc2535"/>
      <w:r/>
      <w:bookmarkStart w:id="100" w:name="_Toc526779129"/>
      <w:r/>
      <w:bookmarkStart w:id="101" w:name="_Toc5576"/>
      <w:r/>
      <w:bookmarkStart w:id="102" w:name="_Toc487900374"/>
      <w:r>
        <w:rPr>
          <w:rFonts w:hint="eastAsia" w:ascii="黑体" w:hAnsi="黑体" w:eastAsia="黑体"/>
          <w:color w:val="auto"/>
          <w:sz w:val="36"/>
          <w:szCs w:val="36"/>
          <w:highlight w:val="none"/>
          <w:lang w:val="en-US" w:eastAsia="zh-CN"/>
        </w:rPr>
        <w:t xml:space="preserve">第四章 评标方法和标准</w:t>
      </w:r>
      <w:bookmarkEnd w:id="97"/>
      <w:r/>
      <w:bookmarkEnd w:id="98"/>
      <w:r/>
      <w:r/>
    </w:p>
    <w:p>
      <w:pPr>
        <w:pStyle w:val="915"/>
        <w:numPr>
          <w:ilvl w:val="0"/>
          <w:numId w:val="0"/>
        </w:numPr>
        <w:ind w:firstLine="480"/>
        <w:keepLines w:val="0"/>
        <w:keepNext w:val="0"/>
        <w:pageBreakBefore w:val="0"/>
        <w:spacing w:before="233" w:after="233" w:line="500" w:lineRule="exact"/>
        <w:widowControl w:val="off"/>
        <w:rPr>
          <w:rFonts w:hint="eastAsia" w:cs="Arial"/>
          <w:b/>
          <w:color w:val="auto"/>
          <w:sz w:val="30"/>
          <w:szCs w:val="30"/>
          <w:highlight w:val="none"/>
        </w:rPr>
      </w:pPr>
      <w:r>
        <w:rPr>
          <w:rFonts w:hint="eastAsia" w:ascii="宋体" w:hAnsi="宋体"/>
          <w:color w:val="auto"/>
          <w:sz w:val="24"/>
          <w:szCs w:val="28"/>
          <w:highlight w:val="none"/>
          <w:lang w:val="en-US" w:eastAsia="zh-CN"/>
        </w:rPr>
        <w:t xml:space="preserve">本采购项目分为1个采购包。</w:t>
      </w:r>
      <w:r/>
    </w:p>
    <w:p>
      <w:pPr>
        <w:pStyle w:val="915"/>
        <w:numPr>
          <w:ilvl w:val="0"/>
          <w:numId w:val="9"/>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 评标方法</w:t>
      </w:r>
      <w:r/>
    </w:p>
    <w:p>
      <w:pPr>
        <w:pStyle w:val="915"/>
        <w:spacing w:before="0" w:after="0" w:line="500" w:lineRule="exact"/>
        <w:rPr>
          <w:rFonts w:hint="eastAsia" w:ascii="宋体" w:hAnsi="宋体"/>
          <w:b/>
          <w:bCs w:val="0"/>
          <w:color w:val="auto"/>
          <w:highlight w:val="none"/>
        </w:rPr>
      </w:pP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投标人通过</w:t>
      </w:r>
      <w:r>
        <w:rPr>
          <w:rFonts w:hint="eastAsia" w:ascii="宋体" w:hAnsi="宋体"/>
          <w:bCs/>
          <w:color w:val="auto"/>
          <w:sz w:val="24"/>
          <w:highlight w:val="none"/>
        </w:rPr>
        <w:t xml:space="preserve">资格审查和符合性审查</w:t>
      </w:r>
      <w:r>
        <w:rPr>
          <w:rFonts w:hint="eastAsia" w:ascii="宋体" w:hAnsi="宋体"/>
          <w:bCs/>
          <w:color w:val="auto"/>
          <w:highlight w:val="none"/>
        </w:rPr>
        <w:t xml:space="preserve">的，方可进入比较与评价程序。</w:t>
      </w:r>
      <w:r>
        <w:rPr>
          <w:rFonts w:hint="eastAsia" w:ascii="宋体" w:hAnsi="宋体"/>
          <w:b/>
          <w:bCs w:val="0"/>
          <w:color w:val="auto"/>
          <w:highlight w:val="none"/>
        </w:rPr>
        <w:t xml:space="preserve">比较与评价采用综合评分法。</w:t>
      </w:r>
      <w:r/>
    </w:p>
    <w:p>
      <w:pPr>
        <w:pStyle w:val="915"/>
        <w:spacing w:before="0" w:after="0" w:line="500" w:lineRule="exact"/>
        <w:rPr>
          <w:rFonts w:hint="eastAsia" w:ascii="宋体" w:hAnsi="宋体"/>
          <w:bCs/>
          <w:color w:val="auto"/>
          <w:highlight w:val="none"/>
        </w:rPr>
      </w:pP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w:t>
      </w:r>
      <w:r>
        <w:rPr>
          <w:rFonts w:hint="eastAsia" w:ascii="宋体" w:hAnsi="宋体"/>
          <w:bCs/>
          <w:color w:val="auto"/>
          <w:sz w:val="24"/>
          <w:highlight w:val="none"/>
          <w:lang w:val="en-US" w:eastAsia="zh-CN"/>
        </w:rPr>
        <w:t xml:space="preserve">平均值</w:t>
      </w:r>
      <w:r>
        <w:rPr>
          <w:rFonts w:hint="eastAsia" w:ascii="宋体" w:hAnsi="宋体"/>
          <w:bCs/>
          <w:color w:val="auto"/>
          <w:highlight w:val="none"/>
        </w:rPr>
        <w:t xml:space="preserve">，并按高低顺序排列。得分相同的，按投标报价由低到高顺序排列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得分相同且投标报价相同的</w:t>
      </w:r>
      <w:r>
        <w:rPr>
          <w:rFonts w:hint="eastAsia" w:ascii="宋体" w:hAnsi="宋体"/>
          <w:bCs/>
          <w:color w:val="auto"/>
          <w:highlight w:val="none"/>
          <w:lang w:eastAsia="zh-CN"/>
        </w:rPr>
        <w:t xml:space="preserve">，</w:t>
      </w:r>
      <w:r>
        <w:rPr>
          <w:rFonts w:hint="eastAsia" w:ascii="宋体" w:hAnsi="宋体"/>
          <w:bCs/>
          <w:color w:val="auto"/>
          <w:sz w:val="24"/>
          <w:szCs w:val="24"/>
          <w:highlight w:val="none"/>
        </w:rPr>
        <w:t xml:space="preserve">由采购人代表抽签确定排序</w:t>
      </w:r>
      <w:r>
        <w:rPr>
          <w:rFonts w:hint="eastAsia" w:ascii="宋体" w:hAnsi="宋体"/>
          <w:bCs/>
          <w:color w:val="auto"/>
          <w:highlight w:val="none"/>
        </w:rPr>
        <w:t xml:space="preserve">。投标文件满足招标文件全部实质性要求，且按照评审因素的量化指标评审得分最高的投标人排名第一，以此类推，按排名先后顺序选取3名中标候选人。</w:t>
      </w:r>
      <w:r/>
    </w:p>
    <w:p>
      <w:pPr>
        <w:pStyle w:val="915"/>
        <w:spacing w:before="0" w:after="0" w:line="500" w:lineRule="exact"/>
        <w:rPr>
          <w:rFonts w:hint="eastAsia" w:ascii="宋体" w:hAnsi="宋体"/>
          <w:bCs/>
          <w:color w:val="auto"/>
          <w:highlight w:val="none"/>
        </w:rPr>
      </w:pPr>
      <w:r>
        <w:rPr>
          <w:rFonts w:hint="eastAsia" w:ascii="宋体" w:hAnsi="宋体"/>
          <w:b/>
          <w:bCs w:val="0"/>
          <w:color w:val="auto"/>
          <w:highlight w:val="none"/>
          <w:lang w:val="en-US" w:eastAsia="zh-CN"/>
        </w:rPr>
        <w:t xml:space="preserve">3、核心产品：</w:t>
      </w:r>
      <w:r>
        <w:rPr>
          <w:rFonts w:hint="eastAsia" w:ascii="宋体" w:hAnsi="宋体"/>
          <w:bCs/>
          <w:color w:val="auto"/>
          <w:highlight w:val="none"/>
          <w:lang w:val="en-US" w:eastAsia="zh-CN"/>
        </w:rPr>
        <w:t xml:space="preserve">对核心产品</w:t>
      </w:r>
      <w:r>
        <w:rPr>
          <w:rFonts w:hint="eastAsia" w:ascii="宋体" w:hAnsi="宋体"/>
          <w:bCs/>
          <w:color w:val="auto"/>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bCs/>
          <w:color w:val="auto"/>
          <w:highlight w:val="none"/>
        </w:rPr>
        <w:t xml:space="preserve">评审排名资格，其他同品牌投标人无评审排名资格。非单一产品采购项目，多家投标人提供的核心产品品牌相同的，同上处理。</w:t>
      </w:r>
      <w:r/>
    </w:p>
    <w:p>
      <w:pPr>
        <w:pStyle w:val="915"/>
        <w:spacing w:before="0" w:after="0" w:line="500" w:lineRule="exact"/>
        <w:rPr>
          <w:rFonts w:hint="eastAsia" w:ascii="宋体" w:hAnsi="宋体"/>
          <w:b/>
          <w:bCs w:val="0"/>
          <w:color w:val="auto"/>
          <w:highlight w:val="none"/>
          <w:lang w:val="en-US" w:eastAsia="zh-CN"/>
        </w:rPr>
      </w:pPr>
      <w:r>
        <w:rPr>
          <w:rFonts w:hint="eastAsia" w:ascii="宋体" w:hAnsi="宋体"/>
          <w:b/>
          <w:bCs w:val="0"/>
          <w:color w:val="auto"/>
          <w:highlight w:val="none"/>
          <w:lang w:val="en-US" w:eastAsia="zh-CN"/>
        </w:rPr>
        <w:t xml:space="preserve">4、落实政府采购政策的价格调整。</w:t>
      </w:r>
      <w:r>
        <w:rPr>
          <w:rFonts w:hint="eastAsia" w:ascii="宋体" w:hAnsi="宋体"/>
          <w:bCs/>
          <w:color w:val="auto"/>
          <w:highlight w:val="none"/>
        </w:rPr>
        <w:t xml:space="preserve">详见“第二章 投标人须知”中“3.1.1 符合本国产品标准的产品”及“3.6 政府采购支持中小企业发展”。</w:t>
      </w:r>
      <w:r/>
    </w:p>
    <w:p>
      <w:pPr>
        <w:pStyle w:val="915"/>
        <w:spacing w:before="0" w:after="0" w:line="500" w:lineRule="exact"/>
        <w:rPr>
          <w:rFonts w:hint="eastAsia" w:ascii="宋体" w:hAnsi="宋体"/>
          <w:bCs/>
          <w:color w:val="auto"/>
          <w:highlight w:val="none"/>
        </w:rPr>
      </w:pPr>
      <w:r>
        <w:rPr>
          <w:rFonts w:hint="eastAsia" w:ascii="宋体" w:hAnsi="宋体"/>
          <w:bCs/>
          <w:color w:val="auto"/>
          <w:highlight w:val="none"/>
        </w:rPr>
        <w:t xml:space="preserve">4.1 本项目中既有本国产品又有非本国产品参与竞争的，依法对本国产品给予价格评审优惠，对本国产品的报价给予</w:t>
      </w:r>
      <w:r>
        <w:rPr>
          <w:rFonts w:hint="eastAsia" w:ascii="宋体" w:hAnsi="宋体"/>
          <w:bCs/>
          <w:color w:val="auto"/>
          <w:highlight w:val="none"/>
          <w:u w:val="none"/>
        </w:rPr>
        <w:t xml:space="preserve">20%</w:t>
      </w:r>
      <w:r>
        <w:rPr>
          <w:rFonts w:hint="eastAsia" w:ascii="宋体" w:hAnsi="宋体"/>
          <w:bCs/>
          <w:color w:val="auto"/>
          <w:highlight w:val="none"/>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4.2 </w:t>
      </w:r>
      <w:r>
        <w:rPr>
          <w:rFonts w:hint="eastAsia" w:ascii="宋体" w:hAnsi="宋体"/>
          <w:b/>
          <w:bCs/>
          <w:color w:val="auto"/>
          <w:sz w:val="24"/>
          <w:szCs w:val="24"/>
          <w:highlight w:val="none"/>
        </w:rPr>
        <w:t xml:space="preserve">小微型企业价格扣除：专门面向中小/小微企业的项目不做价格扣除。</w:t>
      </w:r>
      <w:r/>
    </w:p>
    <w:p>
      <w:pPr>
        <w:pStyle w:val="915"/>
        <w:spacing w:before="0" w:after="0" w:line="500" w:lineRule="exact"/>
        <w:rPr>
          <w:rFonts w:hint="eastAsia" w:ascii="宋体" w:hAnsi="宋体"/>
          <w:bCs/>
          <w:color w:val="auto"/>
          <w:highlight w:val="none"/>
        </w:rPr>
      </w:pPr>
      <w:r>
        <w:rPr>
          <w:rFonts w:hint="eastAsia" w:ascii="宋体" w:hAnsi="宋体"/>
          <w:bCs/>
          <w:color w:val="auto"/>
          <w:highlight w:val="none"/>
        </w:rPr>
      </w:r>
      <w:r/>
    </w:p>
    <w:p>
      <w:pPr>
        <w:ind w:firstLine="482"/>
        <w:jc w:val="left"/>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both"/>
        <w:spacing w:line="360" w:lineRule="auto"/>
        <w:rPr>
          <w:rFonts w:hint="default" w:eastAsia="宋体"/>
          <w:color w:val="auto"/>
          <w:highlight w:val="none"/>
          <w:lang w:val="en-US" w:eastAsia="zh-CN"/>
        </w:rPr>
      </w:pPr>
      <w:r>
        <w:rPr>
          <w:rFonts w:hint="default" w:eastAsia="宋体"/>
          <w:color w:val="auto"/>
          <w:highlight w:val="none"/>
          <w:lang w:val="en-US" w:eastAsia="zh-CN"/>
        </w:rPr>
      </w:r>
      <w:r/>
    </w:p>
    <w:p>
      <w:pPr>
        <w:pStyle w:val="893"/>
        <w:rPr>
          <w:rFonts w:hint="default" w:eastAsia="宋体"/>
          <w:color w:val="auto"/>
          <w:highlight w:val="none"/>
          <w:lang w:val="en-US" w:eastAsia="zh-CN"/>
        </w:rPr>
      </w:pPr>
      <w:r>
        <w:rPr>
          <w:rFonts w:hint="default" w:eastAsia="宋体"/>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jc w:val="both"/>
        <w:spacing w:line="360" w:lineRule="auto"/>
        <w:rPr>
          <w:rFonts w:hint="eastAsia"/>
          <w:color w:val="auto"/>
          <w:highlight w:val="none"/>
        </w:rPr>
      </w:pPr>
      <w:r>
        <w:rPr>
          <w:rFonts w:hint="eastAsia"/>
          <w:color w:val="auto"/>
          <w:highlight w:val="none"/>
        </w:rPr>
      </w:r>
      <w:r/>
    </w:p>
    <w:p>
      <w:pPr>
        <w:pStyle w:val="915"/>
        <w:numPr>
          <w:ilvl w:val="0"/>
          <w:numId w:val="9"/>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892"/>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65</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892"/>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产品工艺展示方案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投标人提供本次采购产品相关的工艺展示方案，方案中具体产品须包括但不限于：“组合式学生床”。</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上述方案中，产品生产工艺完整、图纸设计科学，设计理念科学合理、颜色搭配美观，细节考虑完善、紧贴采购需求实际的，得7分；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上述方案中，产品生产工艺较完整、图纸设计较科学，设计理念较科学合理、颜色搭配较美观，细节考虑较完善、较紧贴采购需求实际的，得4分；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上述方案中，产品生产工艺不够完整、图纸设计不够科学，设计理念不够科学合理、颜色搭配不够美观，细节考虑不够完善、不够紧贴采购需求实际的，得2分；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项目实施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对投标人提出的交货、施工组织和验收方案的合理性、针对性、科学性进行综合评价。包括但不限于：①具体施工方法、②主要技术措施及项目实施进度计划安排、③项目验收方案。</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上述方案内容详细完整、服务方式多样、设置合理、服务流程科学、措施切实可行的，得6分；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方案内容较详细完整、服务方式较多样、设置较合理、服务流程较科学、措施较切实可行的，得4分；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szCs w:val="22"/>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质量保证措施方案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对投标人提交的质量保证措施方案，从编制的完整性、合理性及可行性等酌情评分： </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上述每项内容完整深刻，针对性强，紧贴采购需求实际，得6分；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上述每项内容基本完整，有一定针对性，基本符合采购需求实际，得4分；</w:t>
            </w:r>
            <w:r/>
          </w:p>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szCs w:val="22"/>
                <w:highlight w:val="none"/>
                <w:lang w:val="en-US" w:eastAsia="zh-CN"/>
              </w:rPr>
              <w:t xml:space="preserve">上述每项内容不完整，缺乏针对性，得2分；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szCs w:val="22"/>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安装</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安装方案的合理性、针对性、科学性进行综合评价。且具备履行合同所必需的设备和专业技术能力的证明材料需包括：安装施工方案及安装质量保证措施、安全文明安装及环境保护措施、劳动力、机械设备和材料投入计划。</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上述方案内容详细完整、服务方式多样、设置合理、服务流程科学、措施切实可行的，得6分；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方案内容较详细完整、服务方式较多样、设置较合理、服务流程较科学、措施较切实可行的，得4分；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售后服务管理及措施</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售后服务管理及措施方案的合理性、针对性、科学性进行综合评价。包括但不限于：产品质量保证承诺及服务保障体系、售后服务人员的技术水平及现场服务措施、故障解决能力及应急服务响应时间。</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上述方案内容详细完整、服务方式多样、设置合理、服务流程科学、措施切实可行的，得6分；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方案内容较详细完整、服务方式较多样、设置较合理、服务流程较科学、措施较切实可行的，得4分；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产品参数</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pStyle w:val="894"/>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1、投标人所提供“</w:t>
            </w:r>
            <w:r>
              <w:rPr>
                <w:rFonts w:hint="default" w:cs="宋体" w:asciiTheme="minorEastAsia" w:hAnsiTheme="minorEastAsia" w:eastAsiaTheme="minorEastAsia"/>
                <w:bCs/>
                <w:color w:val="auto"/>
                <w:sz w:val="24"/>
                <w:highlight w:val="none"/>
                <w:lang w:val="en-US" w:eastAsia="zh-CN"/>
              </w:rPr>
              <w:t xml:space="preserve">组合式学生床</w:t>
            </w:r>
            <w:r>
              <w:rPr>
                <w:rFonts w:hint="eastAsia" w:cs="宋体" w:asciiTheme="minorEastAsia" w:hAnsiTheme="minorEastAsia" w:eastAsiaTheme="minorEastAsia"/>
                <w:bCs/>
                <w:color w:val="auto"/>
                <w:sz w:val="24"/>
                <w:highlight w:val="none"/>
                <w:lang w:val="en-US" w:eastAsia="zh-CN"/>
              </w:rPr>
              <w:t xml:space="preserve">”（序号25）木质部件（包括但不限于：床板、护栏、桌面、柜体等）的</w:t>
            </w:r>
            <w:r/>
          </w:p>
          <w:p>
            <w:pPr>
              <w:pStyle w:val="894"/>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①甲醛释放量≤0.025mg/m³，得3分；</w:t>
            </w:r>
            <w:r/>
          </w:p>
          <w:p>
            <w:pPr>
              <w:pStyle w:val="894"/>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②苯系物含量，苯≤0.04mg/m³，得4分；</w:t>
            </w:r>
            <w:r/>
          </w:p>
          <w:p>
            <w:pPr>
              <w:pStyle w:val="894"/>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③TVOC≤0.25mg/m³，得3分。</w:t>
            </w:r>
            <w:r/>
          </w:p>
          <w:p>
            <w:pPr>
              <w:pStyle w:val="894"/>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2、投标人所提供“床头柜”（序号21）的实木多层板，甲醛释放量≤0.025</w:t>
            </w:r>
            <w:r>
              <w:rPr>
                <w:rFonts w:hint="eastAsia" w:ascii="宋体" w:hAnsi="宋体"/>
                <w:color w:val="auto"/>
                <w:spacing w:val="0"/>
                <w:sz w:val="22"/>
                <w:szCs w:val="22"/>
                <w:highlight w:val="none"/>
                <w:lang w:val="en-US" w:eastAsia="zh-CN"/>
              </w:rPr>
              <w:t xml:space="preserve">mg/m³</w:t>
            </w:r>
            <w:r>
              <w:rPr>
                <w:rFonts w:hint="eastAsia" w:cs="宋体" w:asciiTheme="minorEastAsia" w:hAnsiTheme="minorEastAsia" w:eastAsiaTheme="minorEastAsia"/>
                <w:bCs/>
                <w:color w:val="auto"/>
                <w:sz w:val="24"/>
                <w:highlight w:val="none"/>
                <w:lang w:val="en-US" w:eastAsia="zh-CN"/>
              </w:rPr>
              <w:t xml:space="preserve">，得3分；</w:t>
            </w:r>
            <w:r/>
          </w:p>
          <w:p>
            <w:pPr>
              <w:pStyle w:val="894"/>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3、投标人所提供“衣柜”（序号22）的实木多层板，甲醛释放量≤0.025</w:t>
            </w:r>
            <w:r>
              <w:rPr>
                <w:rFonts w:hint="eastAsia" w:ascii="宋体" w:hAnsi="宋体"/>
                <w:color w:val="auto"/>
                <w:spacing w:val="0"/>
                <w:sz w:val="22"/>
                <w:szCs w:val="22"/>
                <w:highlight w:val="none"/>
                <w:lang w:val="en-US" w:eastAsia="zh-CN"/>
              </w:rPr>
              <w:t xml:space="preserve">mg/m³</w:t>
            </w:r>
            <w:r>
              <w:rPr>
                <w:rFonts w:hint="eastAsia" w:cs="宋体" w:asciiTheme="minorEastAsia" w:hAnsiTheme="minorEastAsia" w:eastAsiaTheme="minorEastAsia"/>
                <w:bCs/>
                <w:color w:val="auto"/>
                <w:sz w:val="24"/>
                <w:highlight w:val="none"/>
                <w:lang w:val="en-US" w:eastAsia="zh-CN"/>
              </w:rPr>
              <w:t xml:space="preserve">，得3分。</w:t>
            </w:r>
            <w:r/>
          </w:p>
          <w:p>
            <w:pPr>
              <w:pStyle w:val="894"/>
              <w:numPr>
                <w:ilvl w:val="0"/>
                <w:numId w:val="0"/>
              </w:numPr>
              <w:rPr>
                <w:rFonts w:hint="default"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4、投标人所提供“公寓凳”（序号26）的实木多层板，甲醛释放量≤0.025mg/m³，得3分；</w:t>
            </w:r>
            <w:r/>
          </w:p>
          <w:p>
            <w:pPr>
              <w:jc w:val="left"/>
              <w:rPr>
                <w:rFonts w:hint="default" w:ascii="宋体" w:hAnsi="宋体"/>
                <w:color w:val="auto"/>
                <w:sz w:val="24"/>
                <w:szCs w:val="24"/>
                <w:highlight w:val="none"/>
                <w:lang w:val="en-US"/>
              </w:rPr>
            </w:pPr>
            <w:r>
              <w:rPr>
                <w:rFonts w:hint="eastAsia" w:cs="宋体" w:asciiTheme="minorEastAsia" w:hAnsiTheme="minorEastAsia" w:eastAsiaTheme="minorEastAsia"/>
                <w:bCs/>
                <w:color w:val="auto"/>
                <w:sz w:val="24"/>
                <w:highlight w:val="none"/>
                <w:lang w:val="en-US" w:eastAsia="zh-CN"/>
              </w:rPr>
              <w:t xml:space="preserve">注：投标人须在投标文件中由CMA或CNAS或省级及以上检验检测资质的第三方机构出具的有效检测报告（检测报告页面</w:t>
            </w:r>
            <w:r>
              <w:rPr>
                <w:rFonts w:hint="eastAsia"/>
                <w:color w:val="auto"/>
                <w:sz w:val="24"/>
                <w:szCs w:val="32"/>
                <w:highlight w:val="none"/>
                <w:lang w:eastAsia="zh-CN"/>
              </w:rPr>
              <w:t xml:space="preserve">须注明检测机构电话或</w:t>
            </w:r>
            <w:r>
              <w:rPr>
                <w:rFonts w:hint="eastAsia"/>
                <w:color w:val="auto"/>
                <w:sz w:val="24"/>
                <w:szCs w:val="32"/>
                <w:highlight w:val="none"/>
                <w:lang w:val="en-US" w:eastAsia="zh-CN"/>
              </w:rPr>
              <w:t xml:space="preserve">防伪</w:t>
            </w:r>
            <w:r>
              <w:rPr>
                <w:rFonts w:hint="eastAsia"/>
                <w:color w:val="auto"/>
                <w:sz w:val="24"/>
                <w:szCs w:val="32"/>
                <w:highlight w:val="none"/>
                <w:lang w:eastAsia="zh-CN"/>
              </w:rPr>
              <w:t xml:space="preserve">二维码</w:t>
            </w:r>
            <w:r>
              <w:rPr>
                <w:rFonts w:hint="eastAsia"/>
                <w:color w:val="auto"/>
                <w:sz w:val="24"/>
                <w:szCs w:val="32"/>
                <w:highlight w:val="none"/>
                <w:lang w:val="en-US" w:eastAsia="zh-CN"/>
              </w:rPr>
              <w:t xml:space="preserve">，用于报告真伪查验</w:t>
            </w:r>
            <w:r>
              <w:rPr>
                <w:rFonts w:hint="eastAsia" w:cs="宋体" w:asciiTheme="minorEastAsia" w:hAnsiTheme="minorEastAsia" w:eastAsiaTheme="minorEastAsia"/>
                <w:bCs/>
                <w:color w:val="auto"/>
                <w:sz w:val="24"/>
                <w:highlight w:val="none"/>
                <w:lang w:val="en-US" w:eastAsia="zh-CN"/>
              </w:rPr>
              <w:t xml:space="preserve">），不提供或提供不全不得分。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eastAsia="宋体"/>
                <w:color w:val="auto"/>
                <w:highlight w:val="none"/>
                <w:lang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default"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投标人或所投核心产品制造商具有有效的中国环境标志产品认证证书（十环）（认证/覆盖范围须包含家具类）的，得4分。</w:t>
            </w:r>
            <w:r/>
          </w:p>
          <w:p>
            <w:pPr>
              <w:jc w:val="left"/>
              <w:rPr>
                <w:rFonts w:hint="eastAsia" w:ascii="宋体" w:hAnsi="宋体"/>
                <w:color w:val="auto"/>
                <w:sz w:val="24"/>
                <w:szCs w:val="24"/>
                <w:highlight w:val="none"/>
              </w:rPr>
            </w:pPr>
            <w:r>
              <w:rPr>
                <w:rFonts w:hint="eastAsia" w:cs="宋体" w:asciiTheme="minorEastAsia" w:hAnsiTheme="minorEastAsia" w:eastAsiaTheme="minorEastAsia"/>
                <w:b/>
                <w:bCs w:val="0"/>
                <w:color w:val="auto"/>
                <w:sz w:val="24"/>
                <w:highlight w:val="none"/>
                <w:lang w:val="en-US" w:eastAsia="zh-CN"/>
              </w:rPr>
              <w:t xml:space="preserve">注：投标人须在投标文件中提供在有效期内的认证证书扫描件，同时还须提供该证书在“</w:t>
            </w:r>
            <w:r>
              <w:rPr>
                <w:rFonts w:hint="eastAsia" w:cs="宋体" w:asciiTheme="minorEastAsia" w:hAnsiTheme="minorEastAsia" w:eastAsiaTheme="minorEastAsia"/>
                <w:b/>
                <w:bCs w:val="0"/>
                <w:color w:val="auto"/>
                <w:sz w:val="24"/>
                <w:highlight w:val="none"/>
                <w:lang w:val="en-US" w:eastAsia="zh-CN"/>
              </w:rPr>
              <w:fldChar w:fldCharType="begin"/>
            </w:r>
            <w:r>
              <w:rPr>
                <w:rFonts w:hint="eastAsia" w:cs="宋体" w:asciiTheme="minorEastAsia" w:hAnsiTheme="minorEastAsia" w:eastAsiaTheme="minorEastAsia"/>
                <w:b/>
                <w:bCs w:val="0"/>
                <w:color w:val="auto"/>
                <w:sz w:val="24"/>
                <w:highlight w:val="none"/>
                <w:lang w:val="en-US" w:eastAsia="zh-CN"/>
              </w:rPr>
              <w:instrText xml:space="preserve"> HYPERLINK "http://cx.cnca.cn/CertECloud/index/index/page?currentPosition=" </w:instrText>
            </w:r>
            <w:r>
              <w:rPr>
                <w:rFonts w:hint="eastAsia" w:cs="宋体" w:asciiTheme="minorEastAsia" w:hAnsiTheme="minorEastAsia" w:eastAsiaTheme="minorEastAsia"/>
                <w:b/>
                <w:bCs w:val="0"/>
                <w:color w:val="auto"/>
                <w:sz w:val="24"/>
                <w:highlight w:val="none"/>
                <w:lang w:val="en-US" w:eastAsia="zh-CN"/>
              </w:rPr>
              <w:fldChar w:fldCharType="separate"/>
            </w:r>
            <w:r>
              <w:rPr>
                <w:rFonts w:hint="eastAsia" w:cs="宋体" w:asciiTheme="minorEastAsia" w:hAnsiTheme="minorEastAsia" w:eastAsiaTheme="minorEastAsia"/>
                <w:b/>
                <w:bCs w:val="0"/>
                <w:color w:val="auto"/>
                <w:sz w:val="24"/>
                <w:highlight w:val="none"/>
                <w:lang w:val="en-US" w:eastAsia="zh-CN"/>
              </w:rPr>
              <w:t xml:space="preserve">全国认证认可信息公共服务平台</w:t>
            </w:r>
            <w:r>
              <w:rPr>
                <w:rFonts w:hint="eastAsia" w:cs="宋体" w:asciiTheme="minorEastAsia" w:hAnsiTheme="minorEastAsia" w:eastAsiaTheme="minorEastAsia"/>
                <w:b/>
                <w:bCs w:val="0"/>
                <w:color w:val="auto"/>
                <w:sz w:val="24"/>
                <w:highlight w:val="none"/>
                <w:lang w:val="en-US" w:eastAsia="zh-CN"/>
              </w:rPr>
              <w:fldChar w:fldCharType="end"/>
            </w:r>
            <w:r>
              <w:rPr>
                <w:rFonts w:hint="eastAsia" w:cs="宋体" w:asciiTheme="minorEastAsia" w:hAnsiTheme="minorEastAsia" w:eastAsiaTheme="minorEastAsia"/>
                <w:b/>
                <w:bCs w:val="0"/>
                <w:color w:val="auto"/>
                <w:sz w:val="24"/>
                <w:highlight w:val="none"/>
                <w:lang w:val="en-US" w:eastAsia="zh-CN"/>
              </w:rPr>
              <w:t xml:space="preserve">”网站查询到的有效认证截图，无查询截图不得分。</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售后质保</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eastAsia" w:ascii="宋体" w:hAnsi="宋体"/>
                <w:bCs/>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投标人在承诺免费质保三年的基础上，免费质保期每增加一年，加2分，本项最多加4分。（投标人须提供承诺函扫描件）</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成功案例</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2022年1月1日以来（以合同签订时间为准），投标人具有类似家具类项目成功案例的，有一个得2分，本项最高得6分。</w:t>
            </w:r>
            <w:r/>
          </w:p>
          <w:p>
            <w:pPr>
              <w:jc w:val="left"/>
              <w:rPr>
                <w:rFonts w:hint="eastAsia" w:ascii="宋体" w:hAnsi="宋体"/>
                <w:bCs/>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（投标人须提供合同、中标通知书（成交通知书）扫描件，不提供或提供不全不得分）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节能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环保</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投标产品中含有优先采购环境标志产品的，得1分。</w:t>
            </w:r>
            <w:r/>
          </w:p>
          <w:p>
            <w:pPr>
              <w:jc w:val="left"/>
              <w:rPr>
                <w:rFonts w:hint="eastAsia" w:ascii="宋体" w:hAnsi="宋体"/>
                <w:bCs/>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（投标人须提供由国家确定的认证机构出具的、处于有效期之内的环境标志产品认证证书。）</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color w:val="auto"/>
                <w:sz w:val="24"/>
                <w:szCs w:val="24"/>
                <w:highlight w:val="none"/>
              </w:rPr>
            </w:pPr>
            <w:r>
              <w:rPr>
                <w:rFonts w:hint="eastAsia" w:ascii="宋体" w:hAnsi="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default" w:ascii="宋体" w:hAnsi="宋体" w:eastAsia="宋体"/>
                <w:color w:val="auto"/>
                <w:sz w:val="24"/>
                <w:szCs w:val="24"/>
                <w:highlight w:val="none"/>
                <w:lang w:val="en-US" w:eastAsia="zh-CN"/>
              </w:rPr>
            </w:pPr>
            <w:r>
              <w:rPr>
                <w:rFonts w:hint="eastAsia" w:ascii="宋体" w:hAnsi="宋体" w:cs="宋体"/>
                <w:color w:val="auto"/>
                <w:sz w:val="24"/>
                <w:highlight w:val="none"/>
              </w:rPr>
              <w:t xml:space="preserve">投标报价得分=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评标基准价</w:t>
            </w:r>
            <w:r>
              <w:rPr>
                <w:rFonts w:hint="eastAsia" w:ascii="宋体" w:hAnsi="宋体"/>
                <w:color w:val="auto"/>
                <w:sz w:val="24"/>
                <w:szCs w:val="24"/>
                <w:highlight w:val="none"/>
              </w:rPr>
              <w:t xml:space="preserve">/投标报价）×</w:t>
            </w:r>
            <w:r>
              <w:rPr>
                <w:rFonts w:hint="eastAsia" w:ascii="宋体" w:hAnsi="宋体"/>
                <w:color w:val="auto"/>
                <w:sz w:val="24"/>
                <w:szCs w:val="24"/>
                <w:highlight w:val="none"/>
                <w:lang w:val="en-US" w:eastAsia="zh-CN"/>
              </w:rPr>
              <w:t xml:space="preserve">35</w:t>
            </w:r>
            <w:r/>
          </w:p>
          <w:p>
            <w:pPr>
              <w:jc w:val="left"/>
              <w:rPr>
                <w:rFonts w:hint="eastAsia" w:ascii="宋体" w:hAnsi="宋体"/>
                <w:bCs/>
                <w:color w:val="auto"/>
                <w:sz w:val="24"/>
                <w:szCs w:val="24"/>
                <w:highlight w:val="none"/>
              </w:rPr>
            </w:pPr>
            <w:r>
              <w:rPr>
                <w:rFonts w:hint="eastAsia" w:ascii="宋体" w:hAnsi="宋体"/>
                <w:color w:val="auto"/>
                <w:szCs w:val="21"/>
                <w:highlight w:val="none"/>
              </w:rPr>
              <w:t xml:space="preserve">注：</w:t>
            </w:r>
            <w:r>
              <w:rPr>
                <w:rFonts w:hint="eastAsia" w:ascii="宋体" w:hAnsi="宋体" w:cs="宋体"/>
                <w:color w:val="auto"/>
                <w:szCs w:val="21"/>
                <w:highlight w:val="none"/>
              </w:rPr>
              <w:t xml:space="preserve">因算术修正和落实政府采购政策进行价格调整的，以调整后的价格计算评标基准价和投标报价。</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bookmarkStart w:id="103" w:name="_Hlk151391824"/>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、政府采购评审中出现下列情形之一的，评审委员会将启动异常低价投标审查程序：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①投标报价低于全部通过符合性审查供应商投标报价平均值</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全部通过符合性审查供应商投标报价平均值×</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②投标报价低于通过符合性审查且报价次低供应商投标报价</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通过符合性审查且报价次低供应商投标报价×</w:t>
      </w:r>
      <w:r>
        <w:rPr>
          <w:rFonts w:hint="default"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③投标报价低于采购项目最高限价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的，即投标报价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④其他评审委员会认为供应商报价过低，有可能影响产品质量或者不能诚信履约的情形。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评审委员会启动异常低价投标审查后，将要求相关供应商在评审现场合理的时间内提供书面说明及必要的证明材料，对投标价格作出解释。书面说明、证明材料主要是项目具体成本测算等与报价合理性相关的说明、材料。审查相关情况在评审报告中予以记录。</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
          <w:bCs w:val="0"/>
          <w:color w:val="auto"/>
          <w:sz w:val="24"/>
          <w:szCs w:val="24"/>
          <w:highlight w:val="none"/>
          <w:lang w:val="zh-CN" w:eastAsia="zh-CN"/>
        </w:rPr>
        <w:t xml:space="preserve">本项目中如有涉及</w:t>
      </w:r>
      <w:r>
        <w:rPr>
          <w:rFonts w:hint="eastAsia" w:ascii="宋体" w:hAnsi="宋体" w:cs="宋体"/>
          <w:b/>
          <w:bCs w:val="0"/>
          <w:color w:val="auto"/>
          <w:sz w:val="24"/>
          <w:szCs w:val="24"/>
          <w:highlight w:val="none"/>
          <w:lang w:val="en-US" w:eastAsia="zh-CN"/>
        </w:rPr>
        <w:t xml:space="preserve">强制采购节能产品或优先采购节能产品、环境标志产品的</w:t>
      </w:r>
      <w:r>
        <w:rPr>
          <w:rFonts w:hint="eastAsia" w:ascii="宋体" w:hAnsi="宋体" w:cs="宋体"/>
          <w:bCs/>
          <w:color w:val="auto"/>
          <w:sz w:val="24"/>
          <w:szCs w:val="24"/>
          <w:highlight w:val="none"/>
          <w:lang w:val="en-US" w:eastAsia="zh-CN"/>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color w:val="auto"/>
          <w:sz w:val="24"/>
          <w:szCs w:val="24"/>
          <w:highlight w:val="none"/>
          <w:lang w:val="zh-CN" w:eastAsia="zh-CN"/>
        </w:rPr>
        <w:t xml:space="preserve">节能</w:t>
      </w:r>
      <w:r>
        <w:rPr>
          <w:rFonts w:hint="eastAsia" w:ascii="宋体" w:hAnsi="宋体" w:cs="宋体"/>
          <w:bCs/>
          <w:color w:val="auto"/>
          <w:sz w:val="24"/>
          <w:szCs w:val="24"/>
          <w:highlight w:val="none"/>
          <w:lang w:val="en-US" w:eastAsia="zh-CN"/>
        </w:rPr>
        <w:t xml:space="preserve">（环境标志）</w:t>
      </w:r>
      <w:r>
        <w:rPr>
          <w:rFonts w:hint="eastAsia" w:ascii="宋体" w:hAnsi="宋体" w:cs="宋体"/>
          <w:bCs/>
          <w:color w:val="auto"/>
          <w:sz w:val="24"/>
          <w:szCs w:val="24"/>
          <w:highlight w:val="none"/>
          <w:lang w:val="zh-CN" w:eastAsia="zh-CN"/>
        </w:rPr>
        <w:t xml:space="preserve">产品政府采购品目清单</w:t>
      </w:r>
      <w:r>
        <w:rPr>
          <w:rFonts w:hint="eastAsia" w:ascii="宋体" w:hAnsi="宋体" w:cs="宋体"/>
          <w:bCs/>
          <w:color w:val="auto"/>
          <w:sz w:val="24"/>
          <w:szCs w:val="24"/>
          <w:highlight w:val="none"/>
          <w:lang w:val="en-US" w:eastAsia="zh-CN"/>
        </w:rPr>
        <w:t xml:space="preserve">中的品目是否一致，判定投标人提供的相关产品是否满足采购需求。</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r>
      <w:bookmarkEnd w:id="103"/>
      <w:r/>
      <w:r/>
    </w:p>
    <w:p>
      <w:pPr>
        <w:pStyle w:val="888"/>
        <w:jc w:val="center"/>
        <w:rPr>
          <w:rFonts w:hint="eastAsia" w:ascii="黑体" w:hAnsi="黑体" w:eastAsia="黑体"/>
          <w:color w:val="auto"/>
          <w:sz w:val="28"/>
          <w:highlight w:val="none"/>
        </w:rPr>
      </w:pPr>
      <w:r>
        <w:rPr>
          <w:rFonts w:hint="eastAsia" w:ascii="宋体" w:hAnsi="宋体"/>
          <w:color w:val="auto"/>
          <w:sz w:val="24"/>
          <w:szCs w:val="24"/>
          <w:highlight w:val="none"/>
        </w:rPr>
        <w:br w:type="page" w:clear="all"/>
      </w:r>
      <w:bookmarkStart w:id="104" w:name="_Toc112"/>
      <w:r>
        <w:rPr>
          <w:rFonts w:hint="eastAsia" w:ascii="黑体" w:hAnsi="黑体" w:eastAsia="黑体" w:cs="Times New Roman"/>
          <w:b w:val="0"/>
          <w:bCs w:val="0"/>
          <w:color w:val="auto"/>
          <w:sz w:val="36"/>
          <w:szCs w:val="36"/>
          <w:highlight w:val="none"/>
          <w:lang w:val="en-US" w:eastAsia="zh-CN" w:bidi="ar-SA"/>
        </w:rPr>
        <w:t xml:space="preserve">第五章 政府采购合同（格式）</w:t>
      </w:r>
      <w:bookmarkEnd w:id="99"/>
      <w:r/>
      <w:bookmarkEnd w:id="100"/>
      <w:r/>
      <w:bookmarkEnd w:id="101"/>
      <w:r/>
      <w:bookmarkEnd w:id="104"/>
      <w:r/>
      <w:r/>
    </w:p>
    <w:p>
      <w:pPr>
        <w:pStyle w:val="907"/>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907"/>
        <w:ind w:firstLine="0"/>
        <w:jc w:val="right"/>
        <w:rPr>
          <w:rFonts w:hint="eastAsia" w:hAnsi="宋体" w:cs="宋体"/>
          <w:color w:val="auto"/>
          <w:szCs w:val="24"/>
          <w:highlight w:val="none"/>
        </w:rPr>
      </w:pPr>
      <w:r>
        <w:rPr>
          <w:rFonts w:hint="eastAsia" w:hAnsi="宋体" w:cs="宋体"/>
          <w:color w:val="auto"/>
          <w:szCs w:val="24"/>
          <w:highlight w:val="none"/>
        </w:rPr>
      </w:r>
      <w:r/>
    </w:p>
    <w:p>
      <w:pPr>
        <w:pStyle w:val="907"/>
        <w:ind w:firstLine="0"/>
        <w:rPr>
          <w:rFonts w:hint="eastAsia" w:hAnsi="宋体" w:cs="宋体"/>
          <w:color w:val="auto"/>
          <w:szCs w:val="24"/>
          <w:highlight w:val="none"/>
        </w:rPr>
      </w:pPr>
      <w:r>
        <w:rPr>
          <w:rFonts w:hint="eastAsia" w:hAnsi="宋体" w:cs="宋体"/>
          <w:color w:val="auto"/>
          <w:szCs w:val="24"/>
          <w:highlight w:val="none"/>
        </w:rPr>
      </w:r>
      <w:r/>
    </w:p>
    <w:p>
      <w:pPr>
        <w:pStyle w:val="907"/>
        <w:ind w:firstLine="0"/>
        <w:rPr>
          <w:rFonts w:hint="eastAsia" w:hAnsi="宋体" w:cs="宋体"/>
          <w:color w:val="auto"/>
          <w:szCs w:val="24"/>
          <w:highlight w:val="none"/>
        </w:rPr>
      </w:pPr>
      <w:r>
        <w:rPr>
          <w:rFonts w:hint="eastAsia" w:hAnsi="宋体" w:cs="宋体"/>
          <w:color w:val="auto"/>
          <w:szCs w:val="24"/>
          <w:highlight w:val="none"/>
        </w:rPr>
      </w:r>
      <w:r/>
    </w:p>
    <w:p>
      <w:pPr>
        <w:pStyle w:val="907"/>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907"/>
        <w:ind w:firstLine="0"/>
        <w:rPr>
          <w:rFonts w:hint="eastAsia" w:hAnsi="宋体" w:cs="宋体"/>
          <w:color w:val="auto"/>
          <w:szCs w:val="24"/>
          <w:highlight w:val="none"/>
        </w:rPr>
      </w:pPr>
      <w:r>
        <w:rPr>
          <w:rFonts w:hint="eastAsia" w:hAnsi="宋体" w:cs="宋体"/>
          <w:color w:val="auto"/>
          <w:szCs w:val="24"/>
          <w:highlight w:val="none"/>
        </w:rPr>
      </w:r>
      <w:r/>
    </w:p>
    <w:p>
      <w:pPr>
        <w:pStyle w:val="907"/>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05"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908"/>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05"/>
      <w:r/>
      <w:r/>
    </w:p>
    <w:p>
      <w:pPr>
        <w:ind w:firstLine="640"/>
        <w:jc w:val="center"/>
        <w:spacing w:line="600" w:lineRule="exact"/>
        <w:rPr>
          <w:rFonts w:hint="eastAsia"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auto"/>
          <w:sz w:val="24"/>
          <w:highlight w:val="none"/>
        </w:rPr>
      </w:r>
      <w:r/>
    </w:p>
    <w:p>
      <w:pPr>
        <w:ind w:firstLine="480"/>
        <w:jc w:val="left"/>
        <w:spacing w:line="560" w:lineRule="exact"/>
        <w:rPr>
          <w:rFonts w:hint="eastAsia" w:ascii="宋体" w:hAnsi="宋体" w:cs="宋体"/>
          <w:color w:val="auto"/>
          <w:sz w:val="24"/>
          <w:highlight w:val="none"/>
        </w:rPr>
      </w:pPr>
      <w:r/>
      <w:bookmarkStart w:id="106"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江苏省宜兴第一中学周铁分校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学生课桌椅、教师办公桌椅、宿舍床等家具（第二批）采购项目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val="en-US" w:eastAsia="zh-CN"/>
        </w:rPr>
        <w:t xml:space="preserve">江苏省宜兴第一中学周铁分校</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7"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江苏省宜兴第一中学周铁分校</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7"/>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06"/>
      <w:r/>
      <w:r/>
    </w:p>
    <w:p>
      <w:pPr>
        <w:ind w:firstLine="482"/>
        <w:jc w:val="left"/>
        <w:spacing w:line="560" w:lineRule="exact"/>
        <w:rPr>
          <w:rFonts w:hint="eastAsia" w:ascii="宋体" w:hAnsi="宋体" w:cs="宋体"/>
          <w:b/>
          <w:color w:val="auto"/>
          <w:sz w:val="24"/>
          <w:highlight w:val="none"/>
        </w:rPr>
      </w:pPr>
      <w:r/>
      <w:bookmarkStart w:id="108" w:name="_Toc3029"/>
      <w:r/>
      <w:bookmarkStart w:id="109" w:name="_Toc2232"/>
      <w:r/>
      <w:bookmarkStart w:id="110" w:name="_Toc24059"/>
      <w:r>
        <w:rPr>
          <w:rFonts w:hint="eastAsia" w:ascii="宋体" w:hAnsi="宋体" w:cs="宋体"/>
          <w:b/>
          <w:color w:val="auto"/>
          <w:sz w:val="24"/>
          <w:highlight w:val="none"/>
        </w:rPr>
        <w:t xml:space="preserve">1.1 合同组成部分</w:t>
      </w:r>
      <w:bookmarkEnd w:id="108"/>
      <w:r/>
      <w:bookmarkEnd w:id="109"/>
      <w:r/>
      <w:bookmarkEnd w:id="11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11" w:name="_Toc24300"/>
      <w:r/>
      <w:bookmarkStart w:id="112" w:name="_Toc27126"/>
      <w:r/>
      <w:bookmarkStart w:id="113" w:name="_Toc21295"/>
      <w:r>
        <w:rPr>
          <w:rFonts w:hint="eastAsia" w:ascii="宋体" w:hAnsi="宋体" w:cs="宋体"/>
          <w:b/>
          <w:color w:val="auto"/>
          <w:sz w:val="24"/>
          <w:highlight w:val="none"/>
        </w:rPr>
        <w:t xml:space="preserve">1.2 货物</w:t>
      </w:r>
      <w:bookmarkEnd w:id="111"/>
      <w:r/>
      <w:bookmarkEnd w:id="112"/>
      <w:r/>
      <w:bookmarkEnd w:id="113"/>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14" w:name="_Toc23292"/>
      <w:r/>
      <w:bookmarkStart w:id="115" w:name="_Toc21551"/>
      <w:r/>
      <w:bookmarkStart w:id="116" w:name="_Toc21631"/>
      <w:r>
        <w:rPr>
          <w:rFonts w:hint="eastAsia" w:ascii="宋体" w:hAnsi="宋体" w:cs="宋体"/>
          <w:b/>
          <w:color w:val="auto"/>
          <w:sz w:val="24"/>
          <w:highlight w:val="none"/>
        </w:rPr>
        <w:t xml:space="preserve">1.3 价款</w:t>
      </w:r>
      <w:bookmarkEnd w:id="114"/>
      <w:r/>
      <w:bookmarkEnd w:id="115"/>
      <w:r/>
      <w:bookmarkEnd w:id="11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892"/>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09"/>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909"/>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9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17" w:name="_Toc22618"/>
      <w:r/>
      <w:bookmarkStart w:id="118" w:name="_Toc1814"/>
      <w:r/>
      <w:bookmarkStart w:id="119" w:name="_Toc10340"/>
      <w:r>
        <w:rPr>
          <w:rFonts w:hint="eastAsia" w:ascii="宋体" w:hAnsi="宋体" w:cs="宋体"/>
          <w:b/>
          <w:color w:val="auto"/>
          <w:sz w:val="24"/>
          <w:highlight w:val="none"/>
        </w:rPr>
        <w:t xml:space="preserve">1.4 付款方式和发票开具方式</w:t>
      </w:r>
      <w:bookmarkEnd w:id="117"/>
      <w:r/>
      <w:bookmarkEnd w:id="118"/>
      <w:r/>
      <w:bookmarkEnd w:id="11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0" w:name="_Toc32071"/>
      <w:r/>
      <w:bookmarkStart w:id="121" w:name="_Toc2846"/>
      <w:r/>
      <w:bookmarkStart w:id="122" w:name="_Toc19304"/>
      <w:r>
        <w:rPr>
          <w:rFonts w:hint="eastAsia" w:ascii="宋体" w:hAnsi="宋体" w:cs="宋体"/>
          <w:b/>
          <w:color w:val="auto"/>
          <w:sz w:val="24"/>
          <w:highlight w:val="none"/>
        </w:rPr>
        <w:t xml:space="preserve">1.5 货物交付期限、地点和方式</w:t>
      </w:r>
      <w:bookmarkEnd w:id="120"/>
      <w:r/>
      <w:bookmarkEnd w:id="121"/>
      <w:r/>
      <w:bookmarkEnd w:id="122"/>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3" w:name="_Toc19554"/>
      <w:r/>
      <w:bookmarkStart w:id="124" w:name="_Toc27250"/>
      <w:r/>
      <w:bookmarkStart w:id="125" w:name="_Toc21423"/>
      <w:r>
        <w:rPr>
          <w:rFonts w:hint="eastAsia" w:ascii="宋体" w:hAnsi="宋体" w:cs="宋体"/>
          <w:b/>
          <w:color w:val="auto"/>
          <w:sz w:val="24"/>
          <w:highlight w:val="none"/>
        </w:rPr>
        <w:t xml:space="preserve">1.6 违约责任</w:t>
      </w:r>
      <w:bookmarkEnd w:id="123"/>
      <w:r/>
      <w:bookmarkEnd w:id="124"/>
      <w:r/>
      <w:bookmarkEnd w:id="125"/>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26" w:name="_Toc28375"/>
      <w:r/>
      <w:bookmarkStart w:id="127" w:name="_Toc15583"/>
      <w:r/>
      <w:bookmarkStart w:id="128" w:name="_Toc16021"/>
      <w:r>
        <w:rPr>
          <w:rFonts w:hint="eastAsia" w:ascii="宋体" w:hAnsi="宋体" w:cs="宋体"/>
          <w:b/>
          <w:color w:val="auto"/>
          <w:sz w:val="24"/>
          <w:highlight w:val="none"/>
        </w:rPr>
        <w:t xml:space="preserve">1.7 合同争议的解决</w:t>
      </w:r>
      <w:bookmarkEnd w:id="126"/>
      <w:r/>
      <w:bookmarkEnd w:id="127"/>
      <w:r/>
      <w:bookmarkEnd w:id="128"/>
      <w:r/>
      <w:r/>
    </w:p>
    <w:p>
      <w:pPr>
        <w:ind w:firstLine="480"/>
        <w:jc w:val="left"/>
        <w:spacing w:line="560" w:lineRule="exact"/>
        <w:rPr>
          <w:rFonts w:hint="eastAsia" w:ascii="宋体" w:hAnsi="宋体" w:cs="宋体"/>
          <w:color w:val="auto"/>
          <w:sz w:val="24"/>
          <w:highlight w:val="none"/>
        </w:rPr>
      </w:pPr>
      <w:r/>
      <w:bookmarkStart w:id="129" w:name="_Toc7245"/>
      <w:r/>
      <w:bookmarkStart w:id="130" w:name="_Toc15322"/>
      <w:r/>
      <w:bookmarkStart w:id="131" w:name="_Toc11173"/>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本合同履行过程中发生的任何争议，双方当事人均可通过和解或者调解解决；不愿和解、调解或者和解、调解不成的，将争议提交</w:t>
      </w:r>
      <w:r>
        <w:rPr>
          <w:rFonts w:hint="eastAsia" w:ascii="宋体" w:hAnsi="宋体" w:cs="宋体"/>
          <w:color w:val="auto"/>
          <w:sz w:val="24"/>
          <w:highlight w:val="none"/>
          <w:lang w:val="zh-CN"/>
        </w:rPr>
        <w:t xml:space="preserve">无锡仲裁委员会</w:t>
      </w:r>
      <w:r>
        <w:rPr>
          <w:rFonts w:hint="eastAsia" w:ascii="宋体" w:hAnsi="宋体" w:cs="宋体"/>
          <w:color w:val="auto"/>
          <w:sz w:val="24"/>
          <w:szCs w:val="24"/>
          <w:highlight w:val="none"/>
        </w:rPr>
        <w:t xml:space="preserve">依申请仲裁时其现行有效的仲裁规则裁决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29"/>
      <w:r/>
      <w:bookmarkEnd w:id="130"/>
      <w:r/>
      <w:bookmarkEnd w:id="13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32"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907"/>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907"/>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32"/>
      <w:r/>
      <w:r/>
    </w:p>
    <w:p>
      <w:pPr>
        <w:ind w:firstLine="482"/>
        <w:jc w:val="left"/>
        <w:spacing w:line="560" w:lineRule="exact"/>
        <w:rPr>
          <w:rFonts w:hint="eastAsia" w:ascii="宋体" w:hAnsi="宋体" w:cs="宋体"/>
          <w:b/>
          <w:color w:val="auto"/>
          <w:sz w:val="24"/>
          <w:highlight w:val="none"/>
        </w:rPr>
      </w:pPr>
      <w:r/>
      <w:bookmarkStart w:id="133" w:name="_Toc279701240"/>
      <w:r/>
      <w:bookmarkStart w:id="134" w:name="_Ref467379101"/>
      <w:r/>
      <w:bookmarkStart w:id="135" w:name="_Toc259093669"/>
      <w:r/>
      <w:bookmarkStart w:id="136" w:name="_Toc28763"/>
      <w:r/>
      <w:bookmarkStart w:id="137" w:name="_Toc16917"/>
      <w:r/>
      <w:bookmarkStart w:id="138" w:name="_Ref467379195"/>
      <w:r/>
      <w:bookmarkStart w:id="139" w:name="_Ref467378463"/>
      <w:r/>
      <w:bookmarkStart w:id="140" w:name="_Ref467378499"/>
      <w:r/>
      <w:bookmarkStart w:id="141" w:name="_Toc19614"/>
      <w:r/>
      <w:bookmarkStart w:id="142" w:name="_Ref467379225"/>
      <w:r/>
      <w:bookmarkStart w:id="143" w:name="_Ref467379109"/>
      <w:r/>
      <w:bookmarkStart w:id="144" w:name="_Ref467379205"/>
      <w:r/>
      <w:bookmarkStart w:id="145" w:name="_Ref467378404"/>
      <w:r/>
      <w:bookmarkStart w:id="146" w:name="_Ref467379094"/>
      <w:r/>
      <w:bookmarkStart w:id="147" w:name="_Ref467379214"/>
      <w:r/>
      <w:bookmarkStart w:id="148" w:name="_Toc487900349"/>
      <w:r>
        <w:rPr>
          <w:rFonts w:hint="eastAsia" w:ascii="宋体" w:hAnsi="宋体" w:cs="宋体"/>
          <w:b/>
          <w:color w:val="auto"/>
          <w:sz w:val="24"/>
          <w:highlight w:val="none"/>
        </w:rPr>
        <w:t xml:space="preserve">2.1 定义</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49" w:name="_Ref467378840"/>
      <w:r>
        <w:rPr>
          <w:rFonts w:hint="eastAsia" w:ascii="宋体" w:hAnsi="宋体" w:cs="宋体"/>
          <w:color w:val="auto"/>
          <w:sz w:val="24"/>
          <w:highlight w:val="none"/>
        </w:rPr>
        <w:t xml:space="preserve">2.1.4 “甲方”系指与中标供应商签署合同的采购人</w:t>
      </w:r>
      <w:bookmarkEnd w:id="149"/>
      <w:r>
        <w:rPr>
          <w:rFonts w:hint="eastAsia" w:ascii="宋体" w:hAnsi="宋体" w:cs="宋体"/>
          <w:color w:val="auto"/>
          <w:sz w:val="24"/>
          <w:highlight w:val="none"/>
        </w:rPr>
        <w:t xml:space="preserve">；采购人委托</w:t>
      </w:r>
      <w:r>
        <w:rPr>
          <w:rFonts w:hint="eastAsia" w:ascii="宋体" w:hAnsi="宋体" w:cs="宋体"/>
          <w:color w:val="auto"/>
          <w:sz w:val="24"/>
          <w:highlight w:val="none"/>
          <w:lang w:eastAsia="zh-CN"/>
        </w:rPr>
        <w:t xml:space="preserve">采购代理机构</w:t>
      </w:r>
      <w:r>
        <w:rPr>
          <w:rFonts w:hint="eastAsia" w:ascii="宋体" w:hAnsi="宋体" w:cs="宋体"/>
          <w:color w:val="auto"/>
          <w:sz w:val="24"/>
          <w:highlight w:val="none"/>
        </w:rPr>
        <w:t xml:space="preserve">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50" w:name="_Ref467379400"/>
      <w:r>
        <w:rPr>
          <w:rFonts w:hint="eastAsia" w:ascii="宋体" w:hAnsi="宋体" w:cs="宋体"/>
          <w:color w:val="auto"/>
          <w:sz w:val="24"/>
          <w:highlight w:val="none"/>
        </w:rPr>
        <w:t xml:space="preserve">2.1.5 “乙方”系指根据合同约定交付货物的中标供应商</w:t>
      </w:r>
      <w:bookmarkEnd w:id="150"/>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51" w:name="_Ref467379436"/>
      <w:r>
        <w:rPr>
          <w:rFonts w:hint="eastAsia" w:ascii="宋体" w:hAnsi="宋体" w:cs="宋体"/>
          <w:color w:val="auto"/>
          <w:sz w:val="24"/>
          <w:highlight w:val="none"/>
        </w:rPr>
        <w:t xml:space="preserve">2.1.6 “现场”系指合同约定货物将要运至或者安装的地点。</w:t>
      </w:r>
      <w:bookmarkEnd w:id="151"/>
      <w:r/>
      <w:r/>
    </w:p>
    <w:p>
      <w:pPr>
        <w:ind w:firstLine="482"/>
        <w:jc w:val="left"/>
        <w:spacing w:line="560" w:lineRule="exact"/>
        <w:rPr>
          <w:rFonts w:hint="eastAsia" w:ascii="宋体" w:hAnsi="宋体" w:cs="宋体"/>
          <w:b/>
          <w:color w:val="auto"/>
          <w:sz w:val="24"/>
          <w:highlight w:val="none"/>
        </w:rPr>
      </w:pPr>
      <w:r/>
      <w:bookmarkStart w:id="152" w:name="_Toc259093670"/>
      <w:r/>
      <w:bookmarkStart w:id="153" w:name="_Toc279701241"/>
      <w:r/>
      <w:bookmarkStart w:id="154" w:name="_Toc32504"/>
      <w:r/>
      <w:bookmarkStart w:id="155" w:name="_Toc13336"/>
      <w:r/>
      <w:bookmarkStart w:id="156" w:name="_Toc27635"/>
      <w:r/>
      <w:bookmarkStart w:id="157" w:name="_Toc487900350"/>
      <w:r>
        <w:rPr>
          <w:rFonts w:hint="eastAsia" w:ascii="宋体" w:hAnsi="宋体" w:cs="宋体"/>
          <w:b/>
          <w:color w:val="auto"/>
          <w:sz w:val="24"/>
          <w:highlight w:val="none"/>
        </w:rPr>
        <w:t xml:space="preserve">2.2 技术规范</w:t>
      </w:r>
      <w:bookmarkEnd w:id="152"/>
      <w:r/>
      <w:bookmarkEnd w:id="153"/>
      <w:r/>
      <w:bookmarkEnd w:id="154"/>
      <w:r/>
      <w:bookmarkEnd w:id="155"/>
      <w:r/>
      <w:bookmarkEnd w:id="156"/>
      <w:r/>
      <w:bookmarkEnd w:id="15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58" w:name="_Toc9829"/>
      <w:r/>
      <w:bookmarkStart w:id="159" w:name="_Toc27853"/>
      <w:r/>
      <w:bookmarkStart w:id="160" w:name="_Toc259093671"/>
      <w:r/>
      <w:bookmarkStart w:id="161" w:name="_Toc31634"/>
      <w:r/>
      <w:bookmarkStart w:id="162" w:name="_Toc279701242"/>
      <w:r/>
      <w:bookmarkStart w:id="163" w:name="_Toc487900351"/>
      <w:r>
        <w:rPr>
          <w:rFonts w:hint="eastAsia" w:ascii="宋体" w:hAnsi="宋体" w:cs="宋体"/>
          <w:b/>
          <w:color w:val="auto"/>
          <w:sz w:val="24"/>
          <w:highlight w:val="none"/>
        </w:rPr>
        <w:t xml:space="preserve">2.3 知识产权</w:t>
      </w:r>
      <w:bookmarkEnd w:id="158"/>
      <w:r/>
      <w:bookmarkEnd w:id="159"/>
      <w:r/>
      <w:bookmarkEnd w:id="160"/>
      <w:r/>
      <w:bookmarkEnd w:id="161"/>
      <w:r/>
      <w:bookmarkEnd w:id="162"/>
      <w:r/>
      <w:bookmarkEnd w:id="16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64" w:name="_Toc4194"/>
      <w:r/>
      <w:bookmarkStart w:id="165" w:name="_Toc29149"/>
      <w:r/>
      <w:bookmarkStart w:id="166" w:name="_Toc11932"/>
      <w:r>
        <w:rPr>
          <w:rFonts w:hint="eastAsia" w:ascii="宋体" w:hAnsi="宋体" w:cs="宋体"/>
          <w:b/>
          <w:color w:val="auto"/>
          <w:sz w:val="24"/>
          <w:highlight w:val="none"/>
        </w:rPr>
        <w:t xml:space="preserve">2.4 包装和装运</w:t>
      </w:r>
      <w:bookmarkEnd w:id="164"/>
      <w:r/>
      <w:bookmarkEnd w:id="165"/>
      <w:r/>
      <w:bookmarkEnd w:id="16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167" w:name="_Ref467378591"/>
      <w:r/>
      <w:bookmarkStart w:id="168" w:name="_Ref467378541"/>
      <w:r/>
      <w:bookmarkStart w:id="169" w:name="_Toc487900354"/>
      <w:r/>
      <w:bookmarkStart w:id="170" w:name="_Ref467379527"/>
      <w:r/>
      <w:bookmarkStart w:id="171" w:name="_Ref467379542"/>
      <w:r/>
      <w:bookmarkStart w:id="172" w:name="_Toc279701245"/>
      <w:r/>
      <w:bookmarkStart w:id="173" w:name="_Ref467379536"/>
      <w:r/>
      <w:bookmarkStart w:id="174" w:name="_Toc259093674"/>
      <w:r/>
      <w:bookmarkStart w:id="175" w:name="_Toc30272"/>
      <w:r/>
      <w:bookmarkStart w:id="176" w:name="_Toc26182"/>
      <w:r/>
      <w:bookmarkStart w:id="177" w:name="_Toc19074"/>
      <w:r>
        <w:rPr>
          <w:rFonts w:hint="eastAsia" w:ascii="宋体" w:hAnsi="宋体" w:cs="宋体"/>
          <w:b/>
          <w:color w:val="auto"/>
          <w:sz w:val="24"/>
          <w:highlight w:val="none"/>
        </w:rPr>
        <w:t xml:space="preserve">2.</w:t>
      </w:r>
      <w:bookmarkEnd w:id="167"/>
      <w:r/>
      <w:bookmarkEnd w:id="168"/>
      <w:r/>
      <w:bookmarkEnd w:id="169"/>
      <w:r/>
      <w:bookmarkEnd w:id="170"/>
      <w:r/>
      <w:bookmarkEnd w:id="171"/>
      <w:r/>
      <w:bookmarkEnd w:id="172"/>
      <w:r/>
      <w:bookmarkEnd w:id="173"/>
      <w:r/>
      <w:bookmarkEnd w:id="174"/>
      <w:r>
        <w:rPr>
          <w:rFonts w:hint="eastAsia" w:ascii="宋体" w:hAnsi="宋体" w:cs="宋体"/>
          <w:b/>
          <w:color w:val="auto"/>
          <w:sz w:val="24"/>
          <w:highlight w:val="none"/>
        </w:rPr>
        <w:t xml:space="preserve">5 履约检查和问题反馈</w:t>
      </w:r>
      <w:bookmarkEnd w:id="175"/>
      <w:r/>
      <w:bookmarkEnd w:id="176"/>
      <w:r/>
      <w:bookmarkEnd w:id="177"/>
      <w:r/>
      <w:r/>
    </w:p>
    <w:p>
      <w:pPr>
        <w:ind w:firstLine="480"/>
        <w:jc w:val="left"/>
        <w:spacing w:line="560" w:lineRule="exact"/>
        <w:rPr>
          <w:rFonts w:hint="eastAsia" w:ascii="宋体" w:hAnsi="宋体" w:cs="宋体"/>
          <w:color w:val="auto"/>
          <w:sz w:val="24"/>
          <w:highlight w:val="none"/>
        </w:rPr>
      </w:pPr>
      <w:r/>
      <w:bookmarkStart w:id="178" w:name="_Ref467379657"/>
      <w:r>
        <w:rPr>
          <w:rFonts w:hint="eastAsia" w:ascii="宋体" w:hAnsi="宋体" w:cs="宋体"/>
          <w:color w:val="auto"/>
          <w:sz w:val="24"/>
          <w:highlight w:val="none"/>
        </w:rPr>
        <w:t xml:space="preserve">2.5.1</w:t>
      </w:r>
      <w:bookmarkEnd w:id="178"/>
      <w:r/>
      <w:bookmarkStart w:id="179" w:name="_Toc186431854"/>
      <w:r/>
      <w:bookmarkStart w:id="180" w:name="_Ref467379807"/>
      <w:r/>
      <w:bookmarkStart w:id="181" w:name="_Toc487900357"/>
      <w:r/>
      <w:bookmarkStart w:id="182" w:name="_Ref467379793"/>
      <w:r/>
      <w:bookmarkStart w:id="183" w:name="_Toc279701247"/>
      <w:r/>
      <w:bookmarkStart w:id="184" w:name="_Toc259093676"/>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79"/>
      <w:r/>
      <w:bookmarkStart w:id="185" w:name="_Toc186431855"/>
      <w:r>
        <w:rPr>
          <w:rFonts w:hint="eastAsia" w:ascii="宋体" w:hAnsi="宋体" w:cs="宋体"/>
          <w:color w:val="auto"/>
          <w:sz w:val="24"/>
          <w:highlight w:val="none"/>
        </w:rPr>
        <w:t xml:space="preserve">。</w:t>
      </w:r>
      <w:bookmarkEnd w:id="180"/>
      <w:r/>
      <w:bookmarkEnd w:id="181"/>
      <w:r/>
      <w:bookmarkEnd w:id="182"/>
      <w:r/>
      <w:bookmarkEnd w:id="183"/>
      <w:r/>
      <w:bookmarkEnd w:id="184"/>
      <w:r/>
      <w:bookmarkEnd w:id="185"/>
      <w:r/>
      <w:r/>
    </w:p>
    <w:p>
      <w:pPr>
        <w:ind w:firstLine="482"/>
        <w:jc w:val="left"/>
        <w:spacing w:line="560" w:lineRule="exact"/>
        <w:rPr>
          <w:rFonts w:hint="eastAsia" w:ascii="宋体" w:hAnsi="宋体" w:cs="宋体"/>
          <w:b/>
          <w:color w:val="auto"/>
          <w:sz w:val="24"/>
          <w:highlight w:val="none"/>
        </w:rPr>
      </w:pPr>
      <w:r/>
      <w:bookmarkStart w:id="186" w:name="_Toc279701248"/>
      <w:r/>
      <w:bookmarkStart w:id="187" w:name="_Toc259093677"/>
      <w:r/>
      <w:bookmarkStart w:id="188" w:name="_Ref467379852"/>
      <w:r/>
      <w:bookmarkStart w:id="189" w:name="_Ref467379863"/>
      <w:r/>
      <w:bookmarkStart w:id="190" w:name="_Toc487900358"/>
      <w:r/>
      <w:bookmarkStart w:id="191" w:name="_Ref467379923"/>
      <w:r/>
      <w:bookmarkStart w:id="192" w:name="_Toc16110"/>
      <w:r/>
      <w:bookmarkStart w:id="193" w:name="_Toc774"/>
      <w:r/>
      <w:bookmarkStart w:id="194" w:name="_Toc3225"/>
      <w:r>
        <w:rPr>
          <w:rFonts w:hint="eastAsia" w:ascii="宋体" w:hAnsi="宋体" w:cs="宋体"/>
          <w:b/>
          <w:color w:val="auto"/>
          <w:sz w:val="24"/>
          <w:highlight w:val="none"/>
        </w:rPr>
        <w:t xml:space="preserve">2.6 技术资料</w:t>
      </w:r>
      <w:bookmarkEnd w:id="186"/>
      <w:r/>
      <w:bookmarkEnd w:id="187"/>
      <w:r/>
      <w:bookmarkEnd w:id="188"/>
      <w:r/>
      <w:bookmarkEnd w:id="189"/>
      <w:r/>
      <w:bookmarkEnd w:id="190"/>
      <w:r/>
      <w:bookmarkEnd w:id="191"/>
      <w:r>
        <w:rPr>
          <w:rFonts w:hint="eastAsia" w:ascii="宋体" w:hAnsi="宋体" w:cs="宋体"/>
          <w:b/>
          <w:color w:val="auto"/>
          <w:sz w:val="24"/>
          <w:highlight w:val="none"/>
        </w:rPr>
        <w:t xml:space="preserve">和保密义务</w:t>
      </w:r>
      <w:bookmarkEnd w:id="192"/>
      <w:r/>
      <w:bookmarkEnd w:id="193"/>
      <w:r/>
      <w:bookmarkEnd w:id="19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195" w:name="_Toc7860"/>
      <w:r>
        <w:rPr>
          <w:rFonts w:hint="eastAsia" w:ascii="宋体" w:hAnsi="宋体" w:cs="宋体"/>
          <w:b/>
          <w:color w:val="auto"/>
          <w:sz w:val="24"/>
          <w:highlight w:val="none"/>
        </w:rPr>
        <w:t xml:space="preserve">2.7 质量保证</w:t>
      </w:r>
      <w:bookmarkEnd w:id="195"/>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196" w:name="_Toc14055"/>
      <w:r/>
      <w:bookmarkStart w:id="197" w:name="_Toc487900362"/>
      <w:r/>
      <w:bookmarkStart w:id="198" w:name="_Toc259093681"/>
      <w:r/>
      <w:bookmarkStart w:id="199" w:name="_Toc279701252"/>
      <w:r>
        <w:rPr>
          <w:rFonts w:hint="eastAsia" w:ascii="宋体" w:hAnsi="宋体" w:cs="宋体"/>
          <w:b/>
          <w:color w:val="auto"/>
          <w:sz w:val="24"/>
          <w:highlight w:val="none"/>
        </w:rPr>
        <w:t xml:space="preserve">2.8 延迟交货</w:t>
      </w:r>
      <w:bookmarkEnd w:id="196"/>
      <w:r/>
      <w:bookmarkEnd w:id="197"/>
      <w:r/>
      <w:bookmarkEnd w:id="198"/>
      <w:r/>
      <w:bookmarkEnd w:id="19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00" w:name="_Toc7502"/>
      <w:r/>
      <w:bookmarkStart w:id="201" w:name="_Toc487900364"/>
      <w:r/>
      <w:bookmarkStart w:id="202" w:name="_Toc259093683"/>
      <w:r/>
      <w:bookmarkStart w:id="203" w:name="_Ref467378121"/>
      <w:r/>
      <w:bookmarkStart w:id="204" w:name="_Toc279701254"/>
      <w:r>
        <w:rPr>
          <w:rFonts w:hint="eastAsia" w:ascii="宋体" w:hAnsi="宋体" w:cs="宋体"/>
          <w:b/>
          <w:color w:val="auto"/>
          <w:sz w:val="24"/>
          <w:highlight w:val="none"/>
        </w:rPr>
        <w:t xml:space="preserve">2.9 合同变更</w:t>
      </w:r>
      <w:bookmarkEnd w:id="20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05" w:name="_Toc259093688"/>
      <w:r/>
      <w:bookmarkStart w:id="206" w:name="_Toc279701259"/>
      <w:r/>
      <w:bookmarkStart w:id="207" w:name="_Toc487900369"/>
      <w:r/>
      <w:r/>
    </w:p>
    <w:p>
      <w:pPr>
        <w:ind w:firstLine="482"/>
        <w:jc w:val="left"/>
        <w:spacing w:line="560" w:lineRule="exact"/>
        <w:rPr>
          <w:rFonts w:hint="eastAsia" w:ascii="宋体" w:hAnsi="宋体" w:cs="宋体"/>
          <w:b/>
          <w:color w:val="auto"/>
          <w:sz w:val="24"/>
          <w:highlight w:val="none"/>
        </w:rPr>
      </w:pPr>
      <w:r/>
      <w:bookmarkStart w:id="208" w:name="_Toc22955"/>
      <w:r/>
      <w:bookmarkStart w:id="209" w:name="_Toc15237"/>
      <w:r/>
      <w:bookmarkStart w:id="210" w:name="_Toc10366"/>
      <w:r>
        <w:rPr>
          <w:rFonts w:hint="eastAsia" w:ascii="宋体" w:hAnsi="宋体" w:cs="宋体"/>
          <w:b/>
          <w:color w:val="auto"/>
          <w:sz w:val="24"/>
          <w:highlight w:val="none"/>
        </w:rPr>
        <w:t xml:space="preserve">2.10 合同转让</w:t>
      </w:r>
      <w:bookmarkEnd w:id="205"/>
      <w:r/>
      <w:bookmarkEnd w:id="206"/>
      <w:r/>
      <w:bookmarkEnd w:id="207"/>
      <w:r>
        <w:rPr>
          <w:rFonts w:hint="eastAsia" w:ascii="宋体" w:hAnsi="宋体" w:cs="宋体"/>
          <w:b/>
          <w:color w:val="auto"/>
          <w:sz w:val="24"/>
          <w:highlight w:val="none"/>
        </w:rPr>
        <w:t xml:space="preserve">和分包</w:t>
      </w:r>
      <w:bookmarkEnd w:id="208"/>
      <w:r/>
      <w:bookmarkEnd w:id="209"/>
      <w:r/>
      <w:bookmarkEnd w:id="21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11" w:name="_Toc14066"/>
      <w:r/>
      <w:bookmarkStart w:id="212" w:name="_Toc13566"/>
      <w:r/>
      <w:bookmarkStart w:id="213" w:name="_Toc16508"/>
      <w:r>
        <w:rPr>
          <w:rFonts w:hint="eastAsia" w:ascii="宋体" w:hAnsi="宋体" w:cs="宋体"/>
          <w:b/>
          <w:color w:val="auto"/>
          <w:sz w:val="24"/>
          <w:highlight w:val="none"/>
        </w:rPr>
        <w:t xml:space="preserve">2.11 不可抗力</w:t>
      </w:r>
      <w:bookmarkEnd w:id="211"/>
      <w:r/>
      <w:bookmarkEnd w:id="212"/>
      <w:r/>
      <w:bookmarkEnd w:id="21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14" w:name="_Toc6969"/>
      <w:r/>
      <w:bookmarkStart w:id="215" w:name="_Toc689"/>
      <w:r/>
      <w:bookmarkStart w:id="216" w:name="_Toc259093684"/>
      <w:r/>
      <w:bookmarkStart w:id="217" w:name="_Toc487900365"/>
      <w:r/>
      <w:bookmarkStart w:id="218" w:name="_Toc30676"/>
      <w:r/>
      <w:bookmarkStart w:id="219" w:name="_Toc279701255"/>
      <w:r>
        <w:rPr>
          <w:rFonts w:hint="eastAsia" w:ascii="宋体" w:hAnsi="宋体" w:cs="宋体"/>
          <w:b/>
          <w:color w:val="auto"/>
          <w:sz w:val="24"/>
          <w:highlight w:val="none"/>
        </w:rPr>
        <w:t xml:space="preserve">2.12 税费</w:t>
      </w:r>
      <w:bookmarkEnd w:id="214"/>
      <w:r/>
      <w:bookmarkEnd w:id="215"/>
      <w:r/>
      <w:bookmarkEnd w:id="216"/>
      <w:r/>
      <w:bookmarkEnd w:id="217"/>
      <w:r/>
      <w:bookmarkEnd w:id="218"/>
      <w:r/>
      <w:bookmarkEnd w:id="21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20" w:name="_Toc487900368"/>
      <w:r/>
      <w:bookmarkStart w:id="221" w:name="_Toc8298"/>
      <w:r/>
      <w:bookmarkStart w:id="222" w:name="_Toc16959"/>
      <w:r/>
      <w:bookmarkStart w:id="223" w:name="_Toc259093687"/>
      <w:r/>
      <w:bookmarkStart w:id="224" w:name="_Toc279701258"/>
      <w:r/>
      <w:bookmarkStart w:id="225" w:name="_Toc7102"/>
      <w:r>
        <w:rPr>
          <w:rFonts w:hint="eastAsia" w:ascii="宋体" w:hAnsi="宋体" w:cs="宋体"/>
          <w:b/>
          <w:color w:val="auto"/>
          <w:sz w:val="24"/>
          <w:highlight w:val="none"/>
        </w:rPr>
        <w:t xml:space="preserve">2.13 乙方破产</w:t>
      </w:r>
      <w:bookmarkEnd w:id="220"/>
      <w:r/>
      <w:bookmarkEnd w:id="221"/>
      <w:r/>
      <w:bookmarkEnd w:id="222"/>
      <w:r/>
      <w:bookmarkEnd w:id="223"/>
      <w:r/>
      <w:bookmarkEnd w:id="224"/>
      <w:r/>
      <w:bookmarkEnd w:id="225"/>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26" w:name="_Toc29333"/>
      <w:r/>
      <w:bookmarkStart w:id="227" w:name="_Toc6134"/>
      <w:r/>
      <w:bookmarkStart w:id="228" w:name="_Toc15387"/>
      <w:r>
        <w:rPr>
          <w:rFonts w:hint="eastAsia" w:ascii="宋体" w:hAnsi="宋体" w:cs="宋体"/>
          <w:b/>
          <w:color w:val="auto"/>
          <w:sz w:val="24"/>
          <w:highlight w:val="none"/>
        </w:rPr>
        <w:t xml:space="preserve">2.14 合同中止、终止</w:t>
      </w:r>
      <w:bookmarkEnd w:id="226"/>
      <w:r/>
      <w:bookmarkEnd w:id="227"/>
      <w:r/>
      <w:bookmarkEnd w:id="22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29" w:name="_Toc6596"/>
      <w:r/>
      <w:bookmarkStart w:id="230" w:name="_Toc14563"/>
      <w:r/>
      <w:bookmarkStart w:id="231" w:name="_Toc1125"/>
      <w:r>
        <w:rPr>
          <w:rFonts w:hint="eastAsia" w:ascii="宋体" w:hAnsi="宋体" w:cs="宋体"/>
          <w:b/>
          <w:color w:val="auto"/>
          <w:sz w:val="24"/>
          <w:highlight w:val="none"/>
        </w:rPr>
        <w:t xml:space="preserve">2.15 检验和验收</w:t>
      </w:r>
      <w:bookmarkEnd w:id="229"/>
      <w:r/>
      <w:bookmarkEnd w:id="230"/>
      <w:r/>
      <w:bookmarkEnd w:id="231"/>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01"/>
      <w:r/>
      <w:bookmarkEnd w:id="202"/>
      <w:r/>
      <w:bookmarkEnd w:id="203"/>
      <w:r/>
      <w:bookmarkEnd w:id="204"/>
      <w:r/>
      <w:r/>
    </w:p>
    <w:p>
      <w:pPr>
        <w:ind w:firstLine="482"/>
        <w:jc w:val="left"/>
        <w:spacing w:line="560" w:lineRule="exact"/>
        <w:rPr>
          <w:rFonts w:hint="eastAsia" w:ascii="宋体" w:hAnsi="宋体" w:cs="宋体"/>
          <w:b/>
          <w:color w:val="auto"/>
          <w:sz w:val="24"/>
          <w:highlight w:val="none"/>
        </w:rPr>
      </w:pPr>
      <w:r/>
      <w:bookmarkStart w:id="232" w:name="_Toc259093690"/>
      <w:r/>
      <w:bookmarkStart w:id="233" w:name="_Toc487900371"/>
      <w:r/>
      <w:bookmarkStart w:id="234" w:name="_Toc279701261"/>
      <w:r/>
      <w:bookmarkStart w:id="235" w:name="_Toc19604"/>
      <w:r/>
      <w:bookmarkStart w:id="236" w:name="_Toc11284"/>
      <w:r/>
      <w:bookmarkStart w:id="237" w:name="_Toc25182"/>
      <w:r>
        <w:rPr>
          <w:rFonts w:hint="eastAsia" w:ascii="宋体" w:hAnsi="宋体" w:cs="宋体"/>
          <w:b/>
          <w:color w:val="auto"/>
          <w:sz w:val="24"/>
          <w:highlight w:val="none"/>
        </w:rPr>
        <w:t xml:space="preserve">2.16 通知</w:t>
      </w:r>
      <w:bookmarkEnd w:id="232"/>
      <w:r/>
      <w:bookmarkEnd w:id="233"/>
      <w:r/>
      <w:bookmarkEnd w:id="234"/>
      <w:r>
        <w:rPr>
          <w:rFonts w:hint="eastAsia" w:ascii="宋体" w:hAnsi="宋体" w:cs="宋体"/>
          <w:b/>
          <w:color w:val="auto"/>
          <w:sz w:val="24"/>
          <w:highlight w:val="none"/>
        </w:rPr>
        <w:t xml:space="preserve">和送达</w:t>
      </w:r>
      <w:bookmarkEnd w:id="235"/>
      <w:r/>
      <w:bookmarkEnd w:id="236"/>
      <w:r/>
      <w:bookmarkEnd w:id="237"/>
      <w:r/>
      <w:r/>
    </w:p>
    <w:p>
      <w:pPr>
        <w:ind w:firstLine="480"/>
        <w:jc w:val="left"/>
        <w:spacing w:line="560" w:lineRule="exact"/>
        <w:rPr>
          <w:rFonts w:hint="eastAsia" w:ascii="宋体" w:hAnsi="宋体" w:cs="宋体"/>
          <w:color w:val="auto"/>
          <w:sz w:val="24"/>
          <w:highlight w:val="none"/>
        </w:rPr>
      </w:pPr>
      <w:r/>
      <w:bookmarkStart w:id="238" w:name="_Toc6698"/>
      <w:r/>
      <w:bookmarkStart w:id="239" w:name="_Toc3135"/>
      <w:r/>
      <w:bookmarkStart w:id="240" w:name="_Toc279701262"/>
      <w:r/>
      <w:bookmarkStart w:id="241" w:name="_Toc487900372"/>
      <w:r/>
      <w:bookmarkStart w:id="242" w:name="_Toc259093691"/>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38"/>
      <w:r/>
      <w:bookmarkEnd w:id="239"/>
      <w:r/>
      <w:r/>
    </w:p>
    <w:p>
      <w:pPr>
        <w:ind w:firstLine="480"/>
        <w:jc w:val="left"/>
        <w:spacing w:line="560" w:lineRule="exact"/>
        <w:rPr>
          <w:rFonts w:hint="eastAsia" w:ascii="宋体" w:hAnsi="宋体" w:cs="宋体"/>
          <w:color w:val="auto"/>
          <w:sz w:val="24"/>
          <w:highlight w:val="none"/>
        </w:rPr>
      </w:pPr>
      <w:r/>
      <w:bookmarkStart w:id="243" w:name="_Toc23294"/>
      <w:r/>
      <w:bookmarkStart w:id="244" w:name="_Toc23128"/>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3"/>
      <w:r/>
      <w:bookmarkEnd w:id="244"/>
      <w:r/>
      <w:r/>
    </w:p>
    <w:p>
      <w:pPr>
        <w:ind w:firstLine="482"/>
        <w:jc w:val="left"/>
        <w:spacing w:line="560" w:lineRule="exact"/>
        <w:rPr>
          <w:rFonts w:hint="eastAsia" w:ascii="宋体" w:hAnsi="宋体" w:cs="宋体"/>
          <w:b/>
          <w:color w:val="auto"/>
          <w:sz w:val="24"/>
          <w:highlight w:val="none"/>
        </w:rPr>
      </w:pPr>
      <w:r/>
      <w:bookmarkStart w:id="245" w:name="_Toc30599"/>
      <w:r/>
      <w:bookmarkStart w:id="246" w:name="_Toc4355"/>
      <w:r/>
      <w:bookmarkStart w:id="247" w:name="_Toc18540"/>
      <w:r>
        <w:rPr>
          <w:rFonts w:hint="eastAsia" w:ascii="宋体" w:hAnsi="宋体" w:cs="宋体"/>
          <w:b/>
          <w:color w:val="auto"/>
          <w:sz w:val="24"/>
          <w:highlight w:val="none"/>
        </w:rPr>
        <w:t xml:space="preserve">2.17 计量单位</w:t>
      </w:r>
      <w:bookmarkEnd w:id="240"/>
      <w:r/>
      <w:bookmarkEnd w:id="241"/>
      <w:r/>
      <w:bookmarkEnd w:id="242"/>
      <w:r/>
      <w:bookmarkEnd w:id="245"/>
      <w:r/>
      <w:bookmarkEnd w:id="246"/>
      <w:r/>
      <w:bookmarkEnd w:id="24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48" w:name="_Toc10330"/>
      <w:r/>
      <w:bookmarkStart w:id="249" w:name="_Toc487900373"/>
      <w:r/>
      <w:bookmarkStart w:id="250" w:name="_Toc12773"/>
      <w:r/>
      <w:bookmarkStart w:id="251" w:name="_Toc259093692"/>
      <w:r/>
      <w:bookmarkStart w:id="252" w:name="_Toc18567"/>
      <w:r/>
      <w:bookmarkStart w:id="253" w:name="_Toc279701263"/>
      <w:r>
        <w:rPr>
          <w:rFonts w:hint="eastAsia" w:ascii="宋体" w:hAnsi="宋体" w:cs="宋体"/>
          <w:b/>
          <w:color w:val="auto"/>
          <w:sz w:val="24"/>
          <w:highlight w:val="none"/>
        </w:rPr>
        <w:t xml:space="preserve">2.18 合同使用的文字和适用的法律</w:t>
      </w:r>
      <w:bookmarkEnd w:id="248"/>
      <w:r/>
      <w:bookmarkEnd w:id="249"/>
      <w:r/>
      <w:bookmarkEnd w:id="250"/>
      <w:r/>
      <w:bookmarkEnd w:id="251"/>
      <w:r/>
      <w:bookmarkEnd w:id="252"/>
      <w:r/>
      <w:bookmarkEnd w:id="25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54" w:name="_Toc279701264"/>
      <w:r/>
      <w:bookmarkStart w:id="255" w:name="_Toc12004"/>
      <w:r/>
      <w:bookmarkStart w:id="256" w:name="_Toc3148"/>
      <w:r/>
      <w:bookmarkStart w:id="257" w:name="_Toc259093693"/>
      <w:r/>
      <w:bookmarkStart w:id="258" w:name="_Toc16673"/>
      <w:r>
        <w:rPr>
          <w:rFonts w:hint="eastAsia" w:ascii="宋体" w:hAnsi="宋体" w:cs="宋体"/>
          <w:b/>
          <w:color w:val="auto"/>
          <w:sz w:val="24"/>
          <w:highlight w:val="none"/>
        </w:rPr>
        <w:t xml:space="preserve">2.19 履约保证金</w:t>
      </w:r>
      <w:bookmarkEnd w:id="254"/>
      <w:r/>
      <w:bookmarkEnd w:id="255"/>
      <w:r/>
      <w:bookmarkEnd w:id="256"/>
      <w:r/>
      <w:bookmarkEnd w:id="257"/>
      <w:r/>
      <w:bookmarkEnd w:id="258"/>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若有</w:t>
      </w:r>
      <w:r>
        <w:rPr>
          <w:rFonts w:hint="eastAsia" w:ascii="宋体" w:hAnsi="宋体" w:cs="宋体"/>
          <w:b/>
          <w:color w:val="auto"/>
          <w:sz w:val="24"/>
          <w:szCs w:val="24"/>
          <w:highlight w:val="none"/>
          <w:lang w:eastAsia="zh-CN"/>
        </w:rPr>
        <w:t xml:space="preserve">）</w:t>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02"/>
      <w:r/>
      <w:r/>
    </w:p>
    <w:p>
      <w:pPr>
        <w:jc w:val="center"/>
        <w:rPr>
          <w:rFonts w:hint="default" w:ascii="黑体" w:hAnsi="黑体" w:eastAsia="黑体"/>
          <w:color w:val="auto"/>
          <w:sz w:val="28"/>
          <w:highlight w:val="none"/>
          <w:lang w:val="en-US" w:eastAsia="zh-CN"/>
        </w:rPr>
        <w:outlineLvl w:val="0"/>
      </w:pPr>
      <w:r>
        <w:rPr>
          <w:rFonts w:ascii="黑体" w:hAnsi="黑体" w:eastAsia="黑体"/>
          <w:color w:val="auto"/>
          <w:sz w:val="28"/>
          <w:highlight w:val="none"/>
        </w:rPr>
        <w:br w:type="page" w:clear="all"/>
      </w:r>
      <w:bookmarkStart w:id="259" w:name="_Toc157174693"/>
      <w:r/>
      <w:bookmarkStart w:id="260" w:name="_Toc27444"/>
      <w:r/>
      <w:bookmarkStart w:id="261" w:name="_Toc26519"/>
      <w:r/>
      <w:bookmarkStart w:id="262" w:name="_Toc24602"/>
      <w:r>
        <w:rPr>
          <w:rFonts w:hint="eastAsia" w:ascii="黑体" w:hAnsi="黑体" w:eastAsia="黑体"/>
          <w:color w:val="auto"/>
          <w:sz w:val="36"/>
          <w:szCs w:val="36"/>
          <w:highlight w:val="none"/>
        </w:rPr>
        <w:t xml:space="preserve">第六章 投标文件</w:t>
      </w:r>
      <w:bookmarkEnd w:id="259"/>
      <w:r/>
      <w:bookmarkEnd w:id="260"/>
      <w:r>
        <w:rPr>
          <w:rFonts w:hint="eastAsia" w:ascii="黑体" w:hAnsi="黑体" w:eastAsia="黑体"/>
          <w:color w:val="auto"/>
          <w:sz w:val="36"/>
          <w:szCs w:val="36"/>
          <w:highlight w:val="none"/>
          <w:lang w:val="en-US" w:eastAsia="zh-CN"/>
        </w:rPr>
        <w:t xml:space="preserve">内容与格式</w:t>
      </w:r>
      <w:bookmarkEnd w:id="261"/>
      <w:r/>
      <w:r/>
    </w:p>
    <w:p>
      <w:pPr>
        <w:pStyle w:val="915"/>
        <w:numPr>
          <w:ilvl w:val="0"/>
          <w:numId w:val="0"/>
        </w:numPr>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915"/>
        <w:ind w:firstLine="0"/>
        <w:keepLines w:val="0"/>
        <w:keepNext w:val="0"/>
        <w:pageBreakBefore w:val="0"/>
        <w:spacing w:before="157" w:after="157" w:line="500" w:lineRule="exact"/>
        <w:widowControl w:val="off"/>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92"/>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1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915"/>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915"/>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91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915"/>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资格声明</w:t>
            </w:r>
            <w:r>
              <w:rPr>
                <w:rFonts w:hint="eastAsia" w:ascii="宋体" w:hAnsi="宋体"/>
                <w:bCs/>
                <w:color w:val="auto"/>
                <w:sz w:val="24"/>
                <w:szCs w:val="24"/>
                <w:highlight w:val="none"/>
                <w:lang w:val="en-US" w:eastAsia="zh-CN"/>
              </w:rPr>
              <w:t xml:space="preserve">函</w:t>
            </w:r>
            <w:r/>
          </w:p>
        </w:tc>
        <w:tc>
          <w:tcPr>
            <w:tcW w:w="5663" w:type="dxa"/>
            <w:vAlign w:val="center"/>
            <w:textDirection w:val="lrTb"/>
            <w:noWrap w:val="false"/>
          </w:tcPr>
          <w:p>
            <w:pPr>
              <w:pStyle w:val="915"/>
              <w:ind w:firstLine="0"/>
              <w:jc w:val="both"/>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91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915"/>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w:t>
            </w:r>
            <w:r>
              <w:rPr>
                <w:rFonts w:hint="eastAsia" w:ascii="宋体" w:hAnsi="宋体" w:cs="宋体"/>
                <w:b/>
                <w:bCs/>
                <w:color w:val="auto"/>
                <w:highlight w:val="none"/>
                <w:lang w:val="en-US" w:eastAsia="zh-CN"/>
              </w:rPr>
              <w:t xml:space="preserve">投标人</w:t>
            </w:r>
            <w:r>
              <w:rPr>
                <w:rFonts w:hint="eastAsia" w:ascii="宋体" w:hAnsi="宋体"/>
                <w:b/>
                <w:bCs/>
                <w:color w:val="auto"/>
                <w:sz w:val="24"/>
                <w:szCs w:val="24"/>
                <w:highlight w:val="none"/>
                <w:lang w:val="zh-CN"/>
              </w:rPr>
              <w:t xml:space="preserve">法定代表人亲自参加</w:t>
            </w:r>
            <w:r>
              <w:rPr>
                <w:rFonts w:hint="eastAsia" w:ascii="宋体" w:hAnsi="宋体" w:cs="宋体"/>
                <w:b/>
                <w:bCs/>
                <w:color w:val="auto"/>
                <w:highlight w:val="none"/>
                <w:lang w:val="en-US" w:eastAsia="zh-CN"/>
              </w:rPr>
              <w:t xml:space="preserve">或</w:t>
            </w:r>
            <w:r>
              <w:rPr>
                <w:rFonts w:hint="eastAsia" w:ascii="宋体" w:hAnsi="宋体" w:cs="宋体"/>
                <w:b/>
                <w:bCs/>
                <w:color w:val="auto"/>
                <w:highlight w:val="none"/>
              </w:rPr>
              <w:t xml:space="preserve">投标人是自然人</w:t>
            </w:r>
            <w:r>
              <w:rPr>
                <w:rFonts w:hint="eastAsia" w:ascii="宋体" w:hAnsi="宋体"/>
                <w:b/>
                <w:bCs/>
                <w:color w:val="auto"/>
                <w:sz w:val="24"/>
                <w:szCs w:val="24"/>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297"/>
        </w:trPr>
        <w:tc>
          <w:tcPr>
            <w:tcW w:w="76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915"/>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提供投标人营业执照或法人（登记）证书，投标人为自然人的提供自然人身份证</w:t>
            </w:r>
            <w:r>
              <w:rPr>
                <w:rFonts w:hint="eastAsia" w:ascii="宋体" w:hAnsi="宋体"/>
                <w:bCs/>
                <w:color w:val="auto"/>
                <w:sz w:val="24"/>
                <w:szCs w:val="24"/>
                <w:highlight w:val="none"/>
                <w:lang w:val="en-US" w:eastAsia="zh-CN"/>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915"/>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15"/>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1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lang w:val="zh-CN"/>
              </w:rPr>
            </w:pPr>
            <w:r>
              <w:rPr>
                <w:rFonts w:hint="eastAsia" w:ascii="宋体" w:hAnsi="宋体"/>
                <w:bCs/>
                <w:color w:val="auto"/>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915"/>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915"/>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915"/>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社会保障资金的相关材料</w:t>
            </w:r>
            <w:r>
              <w:rPr>
                <w:rFonts w:hint="eastAsia" w:ascii="宋体" w:hAnsi="宋体"/>
                <w:b/>
                <w:bCs w:val="0"/>
                <w:color w:val="auto"/>
                <w:sz w:val="24"/>
                <w:szCs w:val="24"/>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915"/>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shd w:val="clear" w:color="auto" w:fill="auto"/>
            <w:tcW w:w="1683" w:type="dxa"/>
            <w:vAlign w:val="center"/>
            <w:textDirection w:val="lrTb"/>
            <w:noWrap w:val="false"/>
          </w:tcPr>
          <w:p>
            <w:pPr>
              <w:pStyle w:val="915"/>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无不良信用</w:t>
            </w:r>
            <w:r/>
          </w:p>
          <w:p>
            <w:pPr>
              <w:pStyle w:val="915"/>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记录</w:t>
            </w:r>
            <w:r/>
          </w:p>
        </w:tc>
        <w:tc>
          <w:tcPr>
            <w:shd w:val="clear" w:color="auto" w:fill="auto"/>
            <w:tcW w:w="5663" w:type="dxa"/>
            <w:vAlign w:val="center"/>
            <w:textDirection w:val="lrTb"/>
            <w:noWrap w:val="false"/>
          </w:tcPr>
          <w:p>
            <w:pPr>
              <w:pStyle w:val="915"/>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未被“信用中国”、中国政府采购网列入失信被执行人、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
                <w:bCs w:val="0"/>
                <w:color w:val="auto"/>
                <w:sz w:val="24"/>
                <w:szCs w:val="24"/>
                <w:highlight w:val="none"/>
                <w:lang w:val="zh-CN"/>
              </w:rPr>
              <w:t xml:space="preserve">（</w:t>
            </w:r>
            <w:r>
              <w:rPr>
                <w:rFonts w:ascii="宋体" w:hAnsi="宋体"/>
                <w:b/>
                <w:bCs w:val="0"/>
                <w:color w:val="auto"/>
                <w:sz w:val="24"/>
                <w:szCs w:val="24"/>
                <w:highlight w:val="none"/>
                <w:lang w:val="zh-CN"/>
              </w:rPr>
              <w:t xml:space="preserve">若投标人企业信息已录入以上网站的，</w:t>
            </w:r>
            <w:r>
              <w:rPr>
                <w:rFonts w:hint="eastAsia" w:ascii="宋体" w:hAnsi="宋体"/>
                <w:b/>
                <w:bCs w:val="0"/>
                <w:color w:val="auto"/>
                <w:sz w:val="24"/>
                <w:szCs w:val="24"/>
                <w:highlight w:val="none"/>
                <w:lang w:val="zh-CN"/>
              </w:rPr>
              <w:t xml:space="preserve">无需提供相关证明材料</w:t>
            </w:r>
            <w:r>
              <w:rPr>
                <w:rFonts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zh-CN"/>
              </w:rPr>
              <w:t xml:space="preserve">若投标人企业信息</w:t>
            </w:r>
            <w:r>
              <w:rPr>
                <w:rFonts w:ascii="宋体" w:hAnsi="宋体"/>
                <w:b/>
                <w:bCs w:val="0"/>
                <w:color w:val="auto"/>
                <w:sz w:val="24"/>
                <w:szCs w:val="24"/>
                <w:highlight w:val="none"/>
                <w:lang w:val="zh-CN"/>
              </w:rPr>
              <w:t xml:space="preserve">未</w:t>
            </w:r>
            <w:r>
              <w:rPr>
                <w:rFonts w:hint="eastAsia" w:ascii="宋体" w:hAnsi="宋体"/>
                <w:b/>
                <w:bCs w:val="0"/>
                <w:color w:val="auto"/>
                <w:sz w:val="24"/>
                <w:szCs w:val="24"/>
                <w:highlight w:val="none"/>
                <w:lang w:val="zh-CN"/>
              </w:rPr>
              <w:t xml:space="preserve">录入以上网站的，以投标人提供的资格声明函中作出的无不良信用记录承诺为准）</w:t>
            </w:r>
            <w:r>
              <w:rPr>
                <w:rFonts w:hint="eastAsia" w:ascii="宋体" w:hAnsi="宋体"/>
                <w:bCs/>
                <w:color w:val="auto"/>
                <w:sz w:val="24"/>
                <w:szCs w:val="24"/>
                <w:highlight w:val="none"/>
                <w:lang w:val="zh-CN"/>
              </w:rPr>
              <w:t xml:space="preserve">。</w:t>
            </w:r>
            <w:r/>
          </w:p>
        </w:tc>
        <w:tc>
          <w:tcPr>
            <w:tcW w:w="1192" w:type="dxa"/>
            <w:vAlign w:val="center"/>
            <w:vMerge w:val="restart"/>
            <w:textDirection w:val="lrTb"/>
            <w:noWrap w:val="false"/>
          </w:tcPr>
          <w:p>
            <w:pPr>
              <w:pStyle w:val="915"/>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w:t>
            </w:r>
            <w:r>
              <w:rPr>
                <w:rFonts w:hint="eastAsia" w:ascii="宋体" w:hAnsi="宋体" w:cs="宋体"/>
                <w:color w:val="auto"/>
                <w:highlight w:val="none"/>
                <w:lang w:val="en-US" w:eastAsia="zh-CN"/>
              </w:rPr>
              <w:t xml:space="preserve">函</w:t>
            </w:r>
            <w:r>
              <w:rPr>
                <w:rFonts w:hint="eastAsia" w:ascii="宋体" w:hAnsi="宋体" w:cs="宋体"/>
                <w:color w:val="auto"/>
                <w:highlight w:val="none"/>
              </w:rPr>
              <w:t xml:space="preserve">》</w:t>
            </w:r>
            <w:r/>
          </w:p>
        </w:tc>
      </w:tr>
      <w:tr>
        <w:trPr>
          <w:jc w:val="center"/>
          <w:trHeight w:val="1297"/>
        </w:trPr>
        <w:tc>
          <w:tcPr>
            <w:tcW w:w="763" w:type="dxa"/>
            <w:vAlign w:val="center"/>
            <w:textDirection w:val="lrTb"/>
            <w:noWrap w:val="false"/>
          </w:tcPr>
          <w:p>
            <w:pPr>
              <w:pStyle w:val="915"/>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683" w:type="dxa"/>
            <w:vAlign w:val="center"/>
            <w:textDirection w:val="lrTb"/>
            <w:noWrap w:val="false"/>
          </w:tcPr>
          <w:p>
            <w:pPr>
              <w:pStyle w:val="915"/>
              <w:ind w:firstLine="0"/>
              <w:jc w:val="center"/>
              <w:spacing w:before="0" w:after="0" w:line="24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中小企业声明</w:t>
            </w:r>
            <w:r/>
          </w:p>
        </w:tc>
        <w:tc>
          <w:tcPr>
            <w:tcW w:w="5663" w:type="dxa"/>
            <w:vAlign w:val="center"/>
            <w:textDirection w:val="lrTb"/>
            <w:noWrap w:val="false"/>
          </w:tcPr>
          <w:p>
            <w:pPr>
              <w:pStyle w:val="915"/>
              <w:ind w:firstLine="0"/>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专门面向中小企业采购的，投标人应提供有效的《中小企业声明函》或《残疾人福利性单位声明函》或监狱企业的证明文件</w:t>
            </w:r>
            <w:r>
              <w:rPr>
                <w:rFonts w:hint="eastAsia" w:ascii="宋体" w:hAnsi="宋体"/>
                <w:b/>
                <w:bCs w:val="0"/>
                <w:color w:val="auto"/>
                <w:sz w:val="24"/>
                <w:szCs w:val="24"/>
                <w:highlight w:val="none"/>
                <w:lang w:val="zh-CN"/>
              </w:rPr>
              <w:t xml:space="preserve">（</w:t>
            </w:r>
            <w:r>
              <w:rPr>
                <w:rFonts w:hint="eastAsia" w:ascii="宋体" w:hAnsi="宋体" w:cs="宋体"/>
                <w:b/>
                <w:bCs w:val="0"/>
                <w:color w:val="auto"/>
                <w:highlight w:val="none"/>
              </w:rPr>
              <w:t xml:space="preserve">给定格式；</w:t>
            </w:r>
            <w:r>
              <w:rPr>
                <w:rFonts w:hint="eastAsia" w:ascii="宋体" w:hAnsi="宋体" w:cs="宋体"/>
                <w:b/>
                <w:bCs w:val="0"/>
                <w:color w:val="auto"/>
                <w:highlight w:val="none"/>
                <w:lang w:val="en-US" w:eastAsia="zh-CN"/>
              </w:rPr>
              <w:t xml:space="preserve">非</w:t>
            </w:r>
            <w:r>
              <w:rPr>
                <w:rFonts w:hint="eastAsia" w:ascii="宋体" w:hAnsi="宋体"/>
                <w:b/>
                <w:bCs w:val="0"/>
                <w:color w:val="auto"/>
                <w:sz w:val="24"/>
                <w:szCs w:val="24"/>
                <w:highlight w:val="none"/>
                <w:lang w:val="zh-CN"/>
              </w:rPr>
              <w:t xml:space="preserve">专门面向中小企业采购的无需提供）</w:t>
            </w:r>
            <w:r>
              <w:rPr>
                <w:rFonts w:hint="eastAsia" w:ascii="宋体" w:hAnsi="宋体"/>
                <w:bCs/>
                <w:color w:val="auto"/>
                <w:sz w:val="24"/>
                <w:szCs w:val="24"/>
                <w:highlight w:val="none"/>
                <w:lang w:val="zh-CN"/>
              </w:rPr>
              <w:t xml:space="preserve">。</w:t>
            </w:r>
            <w:r/>
          </w:p>
        </w:tc>
        <w:tc>
          <w:tcPr>
            <w:tcW w:w="1192" w:type="dxa"/>
            <w:vAlign w:val="center"/>
            <w:vMerge w:val="continue"/>
            <w:textDirection w:val="lrTb"/>
            <w:noWrap w:val="false"/>
          </w:tcPr>
          <w:p>
            <w:pPr>
              <w:pStyle w:val="91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915"/>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1683" w:type="dxa"/>
            <w:vAlign w:val="center"/>
            <w:textDirection w:val="lrTb"/>
            <w:noWrap w:val="false"/>
          </w:tcPr>
          <w:p>
            <w:pPr>
              <w:pStyle w:val="915"/>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特定资格要求</w:t>
            </w:r>
            <w:r/>
          </w:p>
        </w:tc>
        <w:tc>
          <w:tcPr>
            <w:tcW w:w="5663" w:type="dxa"/>
            <w:vAlign w:val="center"/>
            <w:textDirection w:val="lrTb"/>
            <w:noWrap w:val="false"/>
          </w:tcPr>
          <w:p>
            <w:pPr>
              <w:pStyle w:val="915"/>
              <w:ind w:firstLine="0"/>
              <w:jc w:val="both"/>
              <w:spacing w:before="0" w:after="0" w:line="240" w:lineRule="auto"/>
              <w:rPr>
                <w:rFonts w:hint="eastAsia" w:ascii="宋体" w:hAnsi="宋体" w:cs="宋体"/>
                <w:bCs/>
                <w:color w:val="auto"/>
                <w:highlight w:val="none"/>
              </w:rPr>
            </w:pPr>
            <w:r>
              <w:rPr>
                <w:rFonts w:hint="eastAsia" w:ascii="宋体" w:hAnsi="宋体"/>
                <w:bCs/>
                <w:color w:val="auto"/>
                <w:sz w:val="24"/>
                <w:szCs w:val="24"/>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15"/>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r>
            <w:r/>
          </w:p>
        </w:tc>
      </w:tr>
      <w:tr>
        <w:trPr>
          <w:jc w:val="center"/>
          <w:trHeight w:val="658"/>
        </w:trPr>
        <w:tc>
          <w:tcPr>
            <w:tcW w:w="763" w:type="dxa"/>
            <w:vAlign w:val="center"/>
            <w:textDirection w:val="lrTb"/>
            <w:noWrap w:val="false"/>
          </w:tcPr>
          <w:p>
            <w:pPr>
              <w:pStyle w:val="915"/>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tcW w:w="1683" w:type="dxa"/>
            <w:vAlign w:val="center"/>
            <w:textDirection w:val="lrTb"/>
            <w:noWrap w:val="false"/>
          </w:tcPr>
          <w:p>
            <w:pPr>
              <w:pStyle w:val="915"/>
              <w:ind w:firstLine="0"/>
              <w:jc w:val="center"/>
              <w:spacing w:before="0" w:after="0" w:line="240" w:lineRule="auto"/>
              <w:rPr>
                <w:rFonts w:hint="eastAsia" w:ascii="宋体" w:hAnsi="宋体" w:cs="宋体"/>
                <w:bCs/>
                <w:color w:val="auto"/>
                <w:highlight w:val="none"/>
                <w:lang w:val="zh-CN"/>
              </w:rPr>
            </w:pPr>
            <w:r>
              <w:rPr>
                <w:rFonts w:hint="eastAsia" w:ascii="宋体" w:hAnsi="宋体"/>
                <w:bCs/>
                <w:color w:val="auto"/>
                <w:sz w:val="24"/>
                <w:szCs w:val="24"/>
                <w:highlight w:val="none"/>
                <w:lang w:val="zh-CN"/>
              </w:rPr>
              <w:t xml:space="preserve">联合体</w:t>
            </w:r>
            <w:r/>
          </w:p>
        </w:tc>
        <w:tc>
          <w:tcPr>
            <w:gridSpan w:val="2"/>
            <w:tcW w:w="6855" w:type="dxa"/>
            <w:vAlign w:val="center"/>
            <w:textDirection w:val="lrTb"/>
            <w:noWrap w:val="false"/>
          </w:tcPr>
          <w:p>
            <w:pPr>
              <w:pStyle w:val="915"/>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bCs w:val="0"/>
                <w:color w:val="auto"/>
                <w:highlight w:val="none"/>
              </w:rPr>
              <w:t xml:space="preserve">（给定格式；</w:t>
            </w:r>
            <w:r>
              <w:rPr>
                <w:rFonts w:hint="eastAsia" w:ascii="宋体" w:hAnsi="宋体"/>
                <w:b/>
                <w:bCs w:val="0"/>
                <w:color w:val="auto"/>
                <w:highlight w:val="none"/>
              </w:rPr>
              <w:t xml:space="preserve">如接受联合体投标且投标人为联合体时须提供</w:t>
            </w:r>
            <w:r>
              <w:rPr>
                <w:rFonts w:hint="eastAsia" w:ascii="宋体" w:hAnsi="宋体" w:cs="宋体"/>
                <w:b/>
                <w:bCs w:val="0"/>
                <w:color w:val="auto"/>
                <w:highlight w:val="none"/>
              </w:rPr>
              <w:t xml:space="preserve">，</w:t>
            </w:r>
            <w:r>
              <w:rPr>
                <w:rFonts w:hint="eastAsia" w:ascii="宋体" w:hAnsi="宋体"/>
                <w:b/>
                <w:bCs w:val="0"/>
                <w:color w:val="auto"/>
                <w:sz w:val="24"/>
                <w:szCs w:val="24"/>
                <w:highlight w:val="none"/>
                <w:lang w:val="zh-CN"/>
              </w:rPr>
              <w:t xml:space="preserve">否则无需提供</w:t>
            </w:r>
            <w:r>
              <w:rPr>
                <w:rFonts w:hint="eastAsia" w:ascii="宋体" w:hAnsi="宋体" w:cs="宋体"/>
                <w:b/>
                <w:bCs w:val="0"/>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915"/>
              <w:ind w:firstLine="0"/>
              <w:jc w:val="center"/>
              <w:spacing w:before="0" w:after="0" w:line="240" w:lineRule="auto"/>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 xml:space="preserve">11</w:t>
            </w:r>
            <w:r/>
          </w:p>
        </w:tc>
        <w:tc>
          <w:tcPr>
            <w:tcW w:w="1683" w:type="dxa"/>
            <w:vAlign w:val="center"/>
            <w:textDirection w:val="lrTb"/>
            <w:noWrap w:val="false"/>
          </w:tcPr>
          <w:p>
            <w:pPr>
              <w:pStyle w:val="915"/>
              <w:ind w:firstLine="0"/>
              <w:jc w:val="center"/>
              <w:spacing w:before="0" w:after="0" w:line="240" w:lineRule="auto"/>
              <w:rPr>
                <w:rFonts w:hint="eastAsia" w:ascii="宋体" w:hAnsi="宋体" w:cs="宋体"/>
                <w:bCs/>
                <w:color w:val="auto"/>
                <w:highlight w:val="none"/>
                <w:lang w:val="zh-CN" w:eastAsia="zh-CN"/>
              </w:rPr>
            </w:pPr>
            <w:r>
              <w:rPr>
                <w:rFonts w:hint="eastAsia" w:ascii="宋体" w:hAnsi="宋体"/>
                <w:bCs/>
                <w:color w:val="auto"/>
                <w:sz w:val="24"/>
                <w:szCs w:val="24"/>
                <w:highlight w:val="none"/>
                <w:lang w:val="zh-CN"/>
              </w:rPr>
              <w:t xml:space="preserve">分包</w:t>
            </w:r>
            <w:r/>
          </w:p>
        </w:tc>
        <w:tc>
          <w:tcPr>
            <w:gridSpan w:val="2"/>
            <w:tcW w:w="6855" w:type="dxa"/>
            <w:vAlign w:val="center"/>
            <w:textDirection w:val="lrTb"/>
            <w:noWrap w:val="false"/>
          </w:tcPr>
          <w:p>
            <w:pPr>
              <w:pStyle w:val="915"/>
              <w:ind w:firstLine="0"/>
              <w:spacing w:before="0" w:after="0" w:line="240" w:lineRule="auto"/>
              <w:rPr>
                <w:rFonts w:hint="eastAsia" w:ascii="宋体" w:hAnsi="宋体" w:cs="宋体"/>
                <w:bCs/>
                <w:color w:val="auto"/>
                <w:highlight w:val="none"/>
                <w:lang w:val="zh-CN"/>
              </w:rPr>
            </w:pPr>
            <w:r>
              <w:rPr>
                <w:rFonts w:hint="eastAsia" w:ascii="宋体" w:hAnsi="宋体" w:cs="宋体"/>
                <w:bCs/>
                <w:color w:val="auto"/>
                <w:highlight w:val="none"/>
                <w:lang w:val="zh-CN" w:eastAsia="zh-CN"/>
              </w:rPr>
              <w:t xml:space="preserve">《分包情况说明》</w:t>
            </w:r>
            <w:r>
              <w:rPr>
                <w:rFonts w:hint="eastAsia" w:ascii="宋体" w:hAnsi="宋体" w:cs="宋体"/>
                <w:b/>
                <w:bCs w:val="0"/>
                <w:color w:val="auto"/>
                <w:highlight w:val="none"/>
                <w:lang w:val="zh-CN" w:eastAsia="zh-CN"/>
              </w:rPr>
              <w:t xml:space="preserve">（给定格式；</w:t>
            </w:r>
            <w:r>
              <w:rPr>
                <w:rFonts w:hint="eastAsia" w:ascii="宋体" w:hAnsi="宋体" w:cs="宋体"/>
                <w:b/>
                <w:bCs w:val="0"/>
                <w:color w:val="auto"/>
                <w:highlight w:val="none"/>
                <w:lang w:val="zh-CN"/>
              </w:rPr>
              <w:t xml:space="preserve">如采购人</w:t>
            </w:r>
            <w:r>
              <w:rPr>
                <w:rFonts w:hint="eastAsia" w:ascii="宋体" w:hAnsi="宋体" w:cs="宋体"/>
                <w:b/>
                <w:bCs w:val="0"/>
                <w:color w:val="auto"/>
                <w:highlight w:val="none"/>
                <w:lang w:val="en-US" w:eastAsia="zh-CN"/>
              </w:rPr>
              <w:t xml:space="preserve">接受</w:t>
            </w:r>
            <w:r>
              <w:rPr>
                <w:rFonts w:hint="eastAsia" w:ascii="宋体" w:hAnsi="宋体" w:cs="宋体"/>
                <w:b/>
                <w:bCs w:val="0"/>
                <w:color w:val="auto"/>
                <w:highlight w:val="none"/>
                <w:lang w:val="zh-CN"/>
              </w:rPr>
              <w:t xml:space="preserve">分包且投标人有分包意向的</w:t>
            </w:r>
            <w:r>
              <w:rPr>
                <w:rFonts w:hint="eastAsia" w:ascii="宋体" w:hAnsi="宋体" w:cs="宋体"/>
                <w:b/>
                <w:bCs w:val="0"/>
                <w:color w:val="auto"/>
                <w:highlight w:val="none"/>
                <w:lang w:val="zh-CN" w:eastAsia="zh-CN"/>
              </w:rPr>
              <w:t xml:space="preserve">须提供，否则无需提供）</w:t>
            </w:r>
            <w:r>
              <w:rPr>
                <w:rFonts w:hint="eastAsia" w:ascii="宋体" w:hAnsi="宋体" w:cs="宋体"/>
                <w:bCs/>
                <w:color w:val="auto"/>
                <w:highlight w:val="none"/>
                <w:lang w:val="zh-CN" w:eastAsia="zh-CN"/>
              </w:rPr>
              <w:t xml:space="preserve">。</w:t>
            </w:r>
            <w:r/>
          </w:p>
        </w:tc>
      </w:tr>
    </w:tbl>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项可由联合体主体单位（即联合体牵头人）代表联合体提供；第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lang w:val="en-US" w:eastAsia="zh-CN"/>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宋体" w:eastAsia="黑体"/>
          <w:bCs/>
          <w:color w:val="auto"/>
          <w:sz w:val="24"/>
          <w:szCs w:val="24"/>
          <w:highlight w:val="none"/>
        </w:rPr>
      </w:pPr>
      <w:r>
        <w:rPr>
          <w:rFonts w:hint="eastAsia" w:ascii="宋体" w:hAnsi="宋体"/>
          <w:color w:val="auto"/>
          <w:highlight w:val="none"/>
        </w:rPr>
        <w:br w:type="page" w:clear="all"/>
      </w:r>
      <w:r/>
    </w:p>
    <w:p>
      <w:pPr>
        <w:pStyle w:val="915"/>
        <w:numPr>
          <w:ilvl w:val="0"/>
          <w:numId w:val="11"/>
        </w:numPr>
        <w:ind w:firstLine="0"/>
        <w:keepLines w:val="0"/>
        <w:keepNext w:val="0"/>
        <w:pageBreakBefore w:val="0"/>
        <w:spacing w:before="157" w:after="157" w:line="500" w:lineRule="exact"/>
        <w:widowControl w:val="off"/>
        <w:rPr>
          <w:rFonts w:hint="eastAsia"/>
          <w:b/>
          <w:color w:val="auto"/>
          <w:sz w:val="28"/>
          <w:szCs w:val="28"/>
          <w:highlight w:val="none"/>
        </w:rPr>
      </w:pPr>
      <w:r>
        <w:rPr>
          <w:rFonts w:hint="eastAsia"/>
          <w:b/>
          <w:color w:val="auto"/>
          <w:sz w:val="28"/>
          <w:szCs w:val="28"/>
          <w:highlight w:val="none"/>
        </w:rPr>
        <w:t xml:space="preserve">符合性证明文件及</w:t>
      </w:r>
      <w:r>
        <w:rPr>
          <w:rFonts w:hint="eastAsia"/>
          <w:b/>
          <w:color w:val="auto"/>
          <w:sz w:val="28"/>
          <w:szCs w:val="28"/>
          <w:highlight w:val="none"/>
          <w:lang w:val="en-US" w:eastAsia="zh-CN"/>
        </w:rPr>
        <w:t xml:space="preserve">评审因素</w:t>
      </w:r>
      <w:r/>
    </w:p>
    <w:p>
      <w:pPr>
        <w:pStyle w:val="915"/>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eastAsia="zh-CN"/>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一</w:t>
      </w:r>
      <w:r>
        <w:rPr>
          <w:rFonts w:hint="eastAsia"/>
          <w:b/>
          <w:color w:val="auto"/>
          <w:sz w:val="28"/>
          <w:szCs w:val="28"/>
          <w:highlight w:val="none"/>
          <w:lang w:eastAsia="zh-CN"/>
        </w:rPr>
        <w:t xml:space="preserve">）</w:t>
      </w:r>
      <w:r>
        <w:rPr>
          <w:rFonts w:hint="eastAsia"/>
          <w:b/>
          <w:color w:val="auto"/>
          <w:sz w:val="28"/>
          <w:szCs w:val="28"/>
          <w:highlight w:val="none"/>
        </w:rPr>
        <w:t xml:space="preserve">符合性证明文件</w:t>
      </w:r>
      <w:r/>
    </w:p>
    <w:tbl>
      <w:tblPr>
        <w:tblStyle w:val="89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15"/>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915"/>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915"/>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15"/>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1</w:t>
            </w:r>
            <w:r/>
          </w:p>
        </w:tc>
        <w:tc>
          <w:tcPr>
            <w:tcW w:w="5811" w:type="dxa"/>
            <w:vAlign w:val="center"/>
            <w:textDirection w:val="lrTb"/>
            <w:noWrap w:val="false"/>
          </w:tcPr>
          <w:p>
            <w:pPr>
              <w:pStyle w:val="915"/>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915"/>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报价符合性</w:t>
            </w:r>
            <w:r>
              <w:rPr>
                <w:rFonts w:hint="eastAsia"/>
                <w:b/>
                <w:color w:val="auto"/>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915"/>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2</w:t>
            </w:r>
            <w:r/>
          </w:p>
        </w:tc>
        <w:tc>
          <w:tcPr>
            <w:tcW w:w="5811" w:type="dxa"/>
            <w:vAlign w:val="center"/>
            <w:textDirection w:val="lrTb"/>
            <w:noWrap w:val="false"/>
          </w:tcPr>
          <w:p>
            <w:pPr>
              <w:pStyle w:val="915"/>
              <w:ind w:firstLine="0"/>
              <w:jc w:val="both"/>
              <w:spacing w:before="0" w:after="0" w:line="240" w:lineRule="auto"/>
              <w:rPr>
                <w:rFonts w:hint="eastAsia" w:ascii="宋体" w:hAnsi="宋体"/>
                <w:color w:val="auto"/>
                <w:highlight w:val="none"/>
              </w:rPr>
            </w:pPr>
            <w:r>
              <w:rPr>
                <w:rFonts w:hint="eastAsia" w:ascii="宋体" w:hAnsi="宋体"/>
                <w:color w:val="auto"/>
                <w:sz w:val="24"/>
                <w:szCs w:val="24"/>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15"/>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15"/>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3</w:t>
            </w:r>
            <w:r/>
          </w:p>
        </w:tc>
        <w:tc>
          <w:tcPr>
            <w:tcW w:w="5811" w:type="dxa"/>
            <w:vAlign w:val="center"/>
            <w:textDirection w:val="lrTb"/>
            <w:noWrap w:val="false"/>
          </w:tcPr>
          <w:p>
            <w:pPr>
              <w:pStyle w:val="915"/>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915"/>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商务符合性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15"/>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4</w:t>
            </w:r>
            <w:r/>
          </w:p>
        </w:tc>
        <w:tc>
          <w:tcPr>
            <w:tcW w:w="5811" w:type="dxa"/>
            <w:vAlign w:val="center"/>
            <w:textDirection w:val="lrTb"/>
            <w:noWrap w:val="false"/>
          </w:tcPr>
          <w:p>
            <w:pPr>
              <w:pStyle w:val="915"/>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15"/>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915"/>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915"/>
              <w:ind w:firstLine="0"/>
              <w:jc w:val="both"/>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olor w:val="auto"/>
                <w:highlight w:val="none"/>
                <w:lang w:val="en-US" w:eastAsia="zh-CN"/>
              </w:rPr>
              <w:t xml:space="preserve">项目技术要求</w:t>
            </w:r>
            <w:r>
              <w:rPr>
                <w:rFonts w:hint="eastAsia" w:ascii="宋体" w:hAnsi="宋体"/>
                <w:color w:val="auto"/>
                <w:highlight w:val="none"/>
              </w:rPr>
              <w:t xml:space="preserve">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915"/>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技术符合性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915"/>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6</w:t>
            </w:r>
            <w:r/>
          </w:p>
        </w:tc>
        <w:tc>
          <w:tcPr>
            <w:shd w:val="clear" w:color="auto" w:fill="auto"/>
            <w:tcW w:w="5811" w:type="dxa"/>
            <w:vAlign w:val="center"/>
            <w:textDirection w:val="lrTb"/>
            <w:noWrap w:val="false"/>
          </w:tcPr>
          <w:p>
            <w:pPr>
              <w:pStyle w:val="915"/>
              <w:ind w:firstLine="0"/>
              <w:jc w:val="both"/>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915"/>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本招标文件</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lang w:val="en-US" w:eastAsia="zh-CN"/>
        </w:rPr>
        <w:t xml:space="preserve">第三章 项目技术要求和有关说明</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rPr>
        <w:t xml:space="preserve">中如有要求提供证明材料的，须按要求提供，否则投标文件无效。</w:t>
      </w:r>
      <w:r/>
    </w:p>
    <w:p>
      <w:pPr>
        <w:numPr>
          <w:ilvl w:val="0"/>
          <w:numId w:val="12"/>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本项目如有涉及</w:t>
      </w:r>
      <w:r>
        <w:rPr>
          <w:rFonts w:hint="eastAsia" w:ascii="宋体" w:hAnsi="宋体"/>
          <w:b/>
          <w:bCs w:val="0"/>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w:t>
      </w:r>
      <w:r>
        <w:rPr>
          <w:rFonts w:hint="eastAsia" w:ascii="宋体" w:hAnsi="宋体" w:cs="Arial"/>
          <w:color w:val="auto"/>
          <w:sz w:val="24"/>
          <w:szCs w:val="24"/>
          <w:highlight w:val="none"/>
          <w:lang w:val="en-US" w:eastAsia="zh-CN"/>
        </w:rPr>
        <w:t xml:space="preserve">相关证明材料</w:t>
      </w:r>
      <w:r>
        <w:rPr>
          <w:rFonts w:hint="eastAsia" w:ascii="宋体" w:hAnsi="宋体" w:cs="Arial"/>
          <w:color w:val="auto"/>
          <w:sz w:val="24"/>
          <w:szCs w:val="24"/>
          <w:highlight w:val="none"/>
        </w:rPr>
        <w:t xml:space="preserve">，否则投标文件无效。</w:t>
      </w:r>
      <w:r/>
    </w:p>
    <w:p>
      <w:pPr>
        <w:numPr>
          <w:ilvl w:val="0"/>
          <w:numId w:val="12"/>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15"/>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5"/>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5"/>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5"/>
        <w:numPr>
          <w:ilvl w:val="0"/>
          <w:numId w:val="0"/>
        </w:numPr>
        <w:keepLines w:val="0"/>
        <w:keepNext w:val="0"/>
        <w:pageBreakBefore w:val="0"/>
        <w:spacing w:before="157" w:after="157" w:line="500" w:lineRule="exact"/>
        <w:widowControl w:val="off"/>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915"/>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val="en-US" w:eastAsia="zh-CN"/>
        </w:rPr>
      </w:pPr>
      <w:r>
        <w:rPr>
          <w:rFonts w:hint="eastAsia"/>
          <w:b/>
          <w:color w:val="auto"/>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bookmarkStart w:id="263" w:name="_Toc29240"/>
      <w:r/>
      <w:bookmarkStart w:id="264" w:name="_Hlk151456417"/>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《评标方法与评标标准》中涉及的证明文件</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left"/>
        <w:rPr>
          <w:rFonts w:hint="eastAsia"/>
          <w:b/>
          <w:color w:val="auto"/>
          <w:sz w:val="28"/>
          <w:szCs w:val="28"/>
          <w:highlight w:val="none"/>
          <w:lang w:val="en-US" w:eastAsia="zh-CN"/>
        </w:rPr>
      </w:pPr>
      <w:r>
        <w:rPr>
          <w:rFonts w:hint="eastAsia"/>
          <w:b/>
          <w:color w:val="auto"/>
          <w:sz w:val="28"/>
          <w:szCs w:val="28"/>
          <w:highlight w:val="none"/>
          <w:lang w:val="en-US" w:eastAsia="zh-CN"/>
        </w:rPr>
        <w:t xml:space="preserve">三、企业报价折扣证明</w:t>
      </w:r>
      <w:r/>
    </w:p>
    <w:tbl>
      <w:tblPr>
        <w:tblStyle w:val="892"/>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1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915"/>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915"/>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91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91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915"/>
              <w:ind w:firstLine="0"/>
              <w:jc w:val="center"/>
              <w:spacing w:before="0" w:after="0" w:line="240" w:lineRule="auto"/>
              <w:rPr>
                <w:rFonts w:hint="eastAsia"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zh-CN"/>
              </w:rPr>
              <w:t xml:space="preserve">政府采购支持中小企业发展</w:t>
            </w:r>
            <w:r/>
          </w:p>
        </w:tc>
        <w:tc>
          <w:tcPr>
            <w:tcW w:w="3955" w:type="dxa"/>
            <w:vAlign w:val="center"/>
            <w:textDirection w:val="lrTb"/>
            <w:noWrap w:val="false"/>
          </w:tcPr>
          <w:p>
            <w:pPr>
              <w:pStyle w:val="915"/>
              <w:ind w:firstLine="0"/>
              <w:jc w:val="both"/>
              <w:spacing w:before="0" w:after="0" w:line="240" w:lineRule="auto"/>
              <w:rPr>
                <w:rFonts w:hint="eastAsia" w:ascii="宋体" w:hAnsi="宋体" w:eastAsia="宋体" w:cs="宋体"/>
                <w:b w:val="0"/>
                <w:bCs/>
                <w:color w:val="auto"/>
                <w:highlight w:val="none"/>
                <w:lang w:eastAsia="zh-CN"/>
              </w:rPr>
            </w:pPr>
            <w:r>
              <w:rPr>
                <w:rFonts w:hint="eastAsia" w:ascii="宋体" w:hAnsi="宋体"/>
                <w:b w:val="0"/>
                <w:bCs/>
                <w:color w:val="auto"/>
                <w:sz w:val="24"/>
                <w:szCs w:val="24"/>
                <w:highlight w:val="none"/>
                <w:lang w:val="en-US" w:eastAsia="zh-CN"/>
              </w:rPr>
              <w:t xml:space="preserve">本项目</w:t>
            </w:r>
            <w:r>
              <w:rPr>
                <w:rFonts w:hint="eastAsia" w:ascii="宋体" w:hAnsi="宋体"/>
                <w:b w:val="0"/>
                <w:bCs/>
                <w:color w:val="auto"/>
                <w:sz w:val="24"/>
                <w:szCs w:val="24"/>
                <w:highlight w:val="none"/>
              </w:rPr>
              <w:t xml:space="preserve">专门面向中小企业</w:t>
            </w:r>
            <w:r>
              <w:rPr>
                <w:rFonts w:hint="eastAsia" w:ascii="宋体" w:hAnsi="宋体"/>
                <w:b w:val="0"/>
                <w:bCs/>
                <w:color w:val="auto"/>
                <w:sz w:val="24"/>
                <w:szCs w:val="24"/>
                <w:highlight w:val="none"/>
                <w:lang w:val="en-US" w:eastAsia="zh-CN"/>
              </w:rPr>
              <w:t xml:space="preserve">采购，</w:t>
            </w:r>
            <w:r>
              <w:rPr>
                <w:rFonts w:hint="eastAsia" w:ascii="宋体" w:hAnsi="宋体"/>
                <w:b w:val="0"/>
                <w:bCs/>
                <w:color w:val="auto"/>
                <w:sz w:val="24"/>
                <w:szCs w:val="24"/>
                <w:highlight w:val="none"/>
              </w:rPr>
              <w:t xml:space="preserve">不做价格扣除</w:t>
            </w:r>
            <w:r>
              <w:rPr>
                <w:rFonts w:hint="eastAsia" w:ascii="宋体" w:hAnsi="宋体"/>
                <w:b w:val="0"/>
                <w:bCs/>
                <w:color w:val="auto"/>
                <w:sz w:val="24"/>
                <w:szCs w:val="24"/>
                <w:highlight w:val="none"/>
                <w:lang w:eastAsia="zh-CN"/>
              </w:rPr>
              <w:t xml:space="preserve">。</w:t>
            </w:r>
            <w:r/>
          </w:p>
        </w:tc>
        <w:tc>
          <w:tcPr>
            <w:tcW w:w="2869" w:type="dxa"/>
            <w:vAlign w:val="center"/>
            <w:textDirection w:val="lrTb"/>
            <w:noWrap w:val="false"/>
          </w:tcPr>
          <w:p>
            <w:pPr>
              <w:pStyle w:val="915"/>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r>
        <w:trPr>
          <w:jc w:val="center"/>
          <w:trHeight w:val="2068"/>
        </w:trPr>
        <w:tc>
          <w:tcPr>
            <w:tcW w:w="759" w:type="dxa"/>
            <w:vAlign w:val="center"/>
            <w:vMerge w:val="restart"/>
            <w:textDirection w:val="lrTb"/>
            <w:noWrap w:val="false"/>
          </w:tcPr>
          <w:p>
            <w:pPr>
              <w:pStyle w:val="915"/>
              <w:ind w:firstLine="0"/>
              <w:jc w:val="center"/>
              <w:spacing w:before="0" w:after="0"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shd w:val="clear" w:color="auto" w:fill="auto"/>
            <w:tcW w:w="1675" w:type="dxa"/>
            <w:vAlign w:val="center"/>
            <w:vMerge w:val="restart"/>
            <w:textDirection w:val="lrTb"/>
            <w:noWrap w:val="false"/>
          </w:tcPr>
          <w:p>
            <w:pPr>
              <w:pStyle w:val="915"/>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highlight w:val="none"/>
                <w:lang w:val="zh-CN"/>
              </w:rPr>
              <w:t xml:space="preserve">对本国产品的支持政策</w:t>
            </w:r>
            <w:r/>
          </w:p>
        </w:tc>
        <w:tc>
          <w:tcPr>
            <w:shd w:val="clear" w:color="auto" w:fill="auto"/>
            <w:tcW w:w="3955" w:type="dxa"/>
            <w:vAlign w:val="center"/>
            <w:textDirection w:val="lrTb"/>
            <w:noWrap w:val="false"/>
          </w:tcPr>
          <w:p>
            <w:pPr>
              <w:pStyle w:val="915"/>
              <w:ind w:firstLine="0"/>
              <w:jc w:val="both"/>
              <w:spacing w:before="0" w:after="0" w:line="240" w:lineRule="auto"/>
              <w:rPr>
                <w:rFonts w:hint="eastAsia" w:ascii="宋体" w:hAnsi="宋体"/>
                <w:bCs/>
                <w:color w:val="auto"/>
                <w:sz w:val="24"/>
                <w:szCs w:val="24"/>
                <w:highlight w:val="none"/>
                <w:lang w:val="en-US" w:eastAsia="zh-CN"/>
              </w:rPr>
            </w:pPr>
            <w:r>
              <w:rPr>
                <w:rFonts w:hint="eastAsia" w:ascii="宋体" w:hAnsi="宋体"/>
                <w:bCs/>
                <w:color w:val="auto"/>
                <w:highlight w:val="none"/>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915"/>
              <w:ind w:firstLine="0"/>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符合条件的投标人，应提供有效的《关于符合本国产品标准的声明函》</w:t>
            </w:r>
            <w:r>
              <w:rPr>
                <w:rFonts w:hint="eastAsia" w:ascii="宋体" w:hAnsi="宋体" w:cs="宋体"/>
                <w:b/>
                <w:bCs/>
                <w:color w:val="auto"/>
                <w:highlight w:val="none"/>
              </w:rPr>
              <w:t xml:space="preserve">（给定格式：详见“第六章 投标文件内容与格式”第六部分）</w:t>
            </w:r>
            <w:r>
              <w:rPr>
                <w:rFonts w:hint="eastAsia" w:ascii="宋体" w:hAnsi="宋体" w:cs="宋体"/>
                <w:color w:val="auto"/>
                <w:highlight w:val="none"/>
              </w:rPr>
              <w:t xml:space="preserve">，否则不享受报价扣除优惠。</w:t>
            </w:r>
            <w:r/>
          </w:p>
        </w:tc>
      </w:tr>
      <w:tr>
        <w:trPr>
          <w:jc w:val="center"/>
          <w:trHeight w:val="2068"/>
        </w:trPr>
        <w:tc>
          <w:tcPr>
            <w:tcW w:w="759" w:type="dxa"/>
            <w:vAlign w:val="center"/>
            <w:vMerge w:val="continue"/>
            <w:textDirection w:val="lrTb"/>
            <w:noWrap w:val="false"/>
          </w:tcPr>
          <w:p>
            <w:pPr>
              <w:pStyle w:val="915"/>
              <w:ind w:firstLine="0"/>
              <w:jc w:val="center"/>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shd w:val="clear" w:color="auto" w:fill="auto"/>
            <w:tcW w:w="1675" w:type="dxa"/>
            <w:vAlign w:val="center"/>
            <w:vMerge w:val="continue"/>
            <w:textDirection w:val="lrTb"/>
            <w:noWrap w:val="false"/>
          </w:tcPr>
          <w:p>
            <w:pPr>
              <w:pStyle w:val="915"/>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tc>
        <w:tc>
          <w:tcPr>
            <w:shd w:val="clear" w:color="auto" w:fill="auto"/>
            <w:tcW w:w="3955" w:type="dxa"/>
            <w:vAlign w:val="center"/>
            <w:textDirection w:val="lrTb"/>
            <w:noWrap w:val="false"/>
          </w:tcPr>
          <w:p>
            <w:pPr>
              <w:pStyle w:val="915"/>
              <w:ind w:firstLine="0"/>
              <w:jc w:val="both"/>
              <w:spacing w:before="0" w:after="0" w:line="240" w:lineRule="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915"/>
              <w:ind w:firstLine="0"/>
              <w:spacing w:before="0" w:after="0"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bookmarkEnd w:id="263"/>
      <w:r/>
      <w:r/>
    </w:p>
    <w:p>
      <w:pPr>
        <w:rPr>
          <w:rFonts w:hint="eastAsia" w:cs="Arial"/>
          <w:b/>
          <w:color w:val="auto"/>
          <w:sz w:val="30"/>
          <w:szCs w:val="30"/>
          <w:highlight w:val="none"/>
        </w:rPr>
      </w:pPr>
      <w:r>
        <w:rPr>
          <w:rFonts w:hint="eastAsia" w:cs="Arial"/>
          <w:b/>
          <w:color w:val="auto"/>
          <w:sz w:val="30"/>
          <w:szCs w:val="30"/>
          <w:highlight w:val="none"/>
        </w:rPr>
        <w:t xml:space="preserve">第二部分  投标文件格式</w:t>
      </w:r>
      <w:r/>
    </w:p>
    <w:p>
      <w:pPr>
        <w:pStyle w:val="915"/>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default" w:ascii="黑体" w:hAnsi="黑体" w:eastAsia="黑体"/>
          <w:b/>
          <w:color w:val="auto"/>
          <w:sz w:val="84"/>
          <w:szCs w:val="84"/>
          <w:highlight w:val="none"/>
          <w:lang w:val="en-US" w:eastAsia="zh-CN"/>
        </w:rPr>
      </w:pPr>
      <w:r>
        <w:rPr>
          <w:rFonts w:hint="eastAsia" w:ascii="黑体" w:hAnsi="黑体" w:eastAsia="黑体"/>
          <w:b/>
          <w:color w:val="auto"/>
          <w:sz w:val="84"/>
          <w:szCs w:val="84"/>
          <w:highlight w:val="none"/>
          <w:lang w:val="en-US" w:eastAsia="zh-CN"/>
        </w:rPr>
        <w:t xml:space="preserve">               </w:t>
      </w:r>
      <w:r/>
    </w:p>
    <w:p>
      <w:pPr>
        <w:jc w:val="center"/>
        <w:rPr>
          <w:rFonts w:hint="eastAsia"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1446"/>
        <w:jc w:val="both"/>
        <w:rPr>
          <w:rFonts w:hint="default" w:ascii="宋体" w:hAnsi="宋体" w:eastAsia="宋体"/>
          <w:b/>
          <w:color w:val="auto"/>
          <w:sz w:val="36"/>
          <w:szCs w:val="36"/>
          <w:highlight w:val="none"/>
          <w:u w:val="single"/>
          <w:lang w:val="en-US" w:eastAsia="zh-CN"/>
        </w:rPr>
      </w:pPr>
      <w:r/>
      <w:bookmarkStart w:id="265" w:name="_Toc10010"/>
      <w:r/>
      <w:bookmarkStart w:id="266" w:name="_Toc24371"/>
      <w:r>
        <w:rPr>
          <w:rFonts w:hint="eastAsia" w:ascii="宋体" w:hAnsi="宋体"/>
          <w:b/>
          <w:color w:val="auto"/>
          <w:sz w:val="36"/>
          <w:szCs w:val="36"/>
          <w:highlight w:val="none"/>
        </w:rPr>
        <w:t xml:space="preserve">项目名称：</w:t>
      </w:r>
      <w:bookmarkEnd w:id="265"/>
      <w:r>
        <w:rPr>
          <w:rFonts w:hint="eastAsia" w:ascii="宋体" w:hAnsi="宋体"/>
          <w:b/>
          <w:color w:val="auto"/>
          <w:sz w:val="36"/>
          <w:szCs w:val="36"/>
          <w:highlight w:val="none"/>
          <w:u w:val="single"/>
          <w:lang w:val="en-US" w:eastAsia="zh-CN"/>
        </w:rPr>
        <w:t xml:space="preserve">学生课桌椅、教师办公桌椅、宿舍床等家具（第二批）采购项目   </w:t>
      </w:r>
      <w:r/>
    </w:p>
    <w:p>
      <w:pPr>
        <w:jc w:val="center"/>
        <w:rPr>
          <w:rFonts w:hint="eastAsia" w:ascii="宋体" w:hAnsi="宋体" w:eastAsia="宋体"/>
          <w:b/>
          <w:color w:val="auto"/>
          <w:sz w:val="36"/>
          <w:szCs w:val="36"/>
          <w:highlight w:val="none"/>
          <w:u w:val="single"/>
          <w:lang w:eastAsia="zh-CN"/>
        </w:rPr>
      </w:pPr>
      <w:r/>
      <w:bookmarkStart w:id="267" w:name="_Toc2400"/>
      <w:r>
        <w:rPr>
          <w:rFonts w:hint="eastAsia" w:ascii="宋体" w:hAnsi="宋体"/>
          <w:b/>
          <w:color w:val="auto"/>
          <w:sz w:val="36"/>
          <w:szCs w:val="36"/>
          <w:highlight w:val="none"/>
        </w:rPr>
        <w:t xml:space="preserve">项目编号：</w:t>
      </w:r>
      <w:bookmarkEnd w:id="267"/>
      <w:r>
        <w:rPr>
          <w:rFonts w:hint="eastAsia" w:ascii="宋体" w:hAnsi="宋体"/>
          <w:b/>
          <w:color w:val="auto"/>
          <w:sz w:val="36"/>
          <w:szCs w:val="36"/>
          <w:highlight w:val="none"/>
          <w:u w:val="single"/>
          <w:lang w:eastAsia="zh-CN"/>
        </w:rPr>
        <w:t xml:space="preserve">JSZC-320282-XDFH-G2026-0011</w:t>
      </w:r>
      <w:r/>
    </w:p>
    <w:p>
      <w:pPr>
        <w:ind w:firstLine="1446"/>
        <w:jc w:val="both"/>
        <w:rPr>
          <w:rFonts w:hint="default" w:ascii="宋体" w:hAnsi="宋体" w:eastAsia="宋体"/>
          <w:b/>
          <w:color w:val="auto"/>
          <w:sz w:val="36"/>
          <w:szCs w:val="36"/>
          <w:highlight w:val="none"/>
          <w:u w:val="single"/>
          <w:lang w:val="en-US" w:eastAsia="zh-CN"/>
        </w:rPr>
      </w:pPr>
      <w:r>
        <w:rPr>
          <w:rFonts w:hint="eastAsia" w:ascii="宋体" w:hAnsi="宋体"/>
          <w:b/>
          <w:color w:val="auto"/>
          <w:sz w:val="36"/>
          <w:szCs w:val="36"/>
          <w:highlight w:val="none"/>
        </w:rPr>
        <w:t xml:space="preserve">投 标 人：</w:t>
      </w:r>
      <w:bookmarkEnd w:id="266"/>
      <w:r>
        <w:rPr>
          <w:rFonts w:hint="eastAsia" w:ascii="宋体" w:hAnsi="宋体"/>
          <w:b/>
          <w:color w:val="auto"/>
          <w:sz w:val="36"/>
          <w:szCs w:val="36"/>
          <w:highlight w:val="none"/>
          <w:u w:val="single"/>
          <w:lang w:val="en-US" w:eastAsia="zh-CN"/>
        </w:rPr>
        <w:t xml:space="preserve">                           </w:t>
      </w:r>
      <w:r/>
    </w:p>
    <w:p>
      <w:pPr>
        <w:ind w:firstLine="1446"/>
        <w:jc w:val="both"/>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lang w:val="en-US" w:eastAsia="zh-CN"/>
        </w:rPr>
        <w:t xml:space="preserve">                           </w:t>
      </w:r>
      <w:r>
        <w:rPr>
          <w:rFonts w:hint="eastAsia" w:ascii="宋体" w:hAnsi="宋体"/>
          <w:b/>
          <w:color w:val="auto"/>
          <w:sz w:val="36"/>
          <w:szCs w:val="36"/>
          <w:highlight w:val="none"/>
          <w:lang w:val="en-US" w:eastAsia="zh-CN"/>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64"/>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lang w:val="en-US" w:eastAsia="zh-CN"/>
        </w:rPr>
        <w:t xml:space="preserve">二、</w:t>
      </w:r>
      <w:bookmarkStart w:id="268" w:name="_Hlk131928370"/>
      <w:r>
        <w:rPr>
          <w:rFonts w:hint="eastAsia" w:ascii="黑体" w:hAnsi="宋体" w:eastAsia="黑体"/>
          <w:bCs/>
          <w:color w:val="auto"/>
          <w:sz w:val="28"/>
          <w:szCs w:val="28"/>
          <w:highlight w:val="none"/>
        </w:rPr>
        <w:t xml:space="preserve">开标一览表</w:t>
      </w:r>
      <w:bookmarkEnd w:id="268"/>
      <w:r>
        <w:rPr>
          <w:rFonts w:hint="eastAsia" w:ascii="黑体" w:hAnsi="宋体" w:eastAsia="黑体"/>
          <w:bCs/>
          <w:color w:val="auto"/>
          <w:sz w:val="28"/>
          <w:szCs w:val="28"/>
          <w:highlight w:val="none"/>
        </w:rPr>
        <w:t xml:space="preserve">：</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bookmarkEnd w:id="262"/>
      <w:r/>
      <w:r/>
    </w:p>
    <w:p>
      <w:pPr>
        <w:jc w:val="center"/>
        <w:spacing w:before="156" w:after="156"/>
        <w:rPr>
          <w:rFonts w:hint="eastAsia" w:ascii="黑体" w:hAnsi="黑体" w:eastAsia="黑体"/>
          <w:color w:val="auto"/>
          <w:sz w:val="28"/>
          <w:szCs w:val="28"/>
          <w:highlight w:val="none"/>
        </w:rPr>
      </w:pPr>
      <w:r/>
      <w:bookmarkStart w:id="269" w:name="_Toc32423"/>
      <w:r/>
      <w:bookmarkStart w:id="270" w:name="OLE_LINK4"/>
      <w:r/>
      <w:bookmarkStart w:id="271" w:name="_Toc4946"/>
      <w:r>
        <w:rPr>
          <w:rFonts w:hint="eastAsia" w:ascii="黑体" w:eastAsia="黑体"/>
          <w:bCs/>
          <w:color w:val="auto"/>
          <w:sz w:val="28"/>
          <w:szCs w:val="28"/>
          <w:highlight w:val="none"/>
        </w:rPr>
        <w:t xml:space="preserve">开标一览表</w:t>
      </w:r>
      <w:bookmarkEnd w:id="269"/>
      <w:r/>
      <w:bookmarkEnd w:id="270"/>
      <w:r/>
      <w:r/>
    </w:p>
    <w:p>
      <w:pPr>
        <w:ind w:firstLine="480"/>
        <w:jc w:val="left"/>
        <w:spacing w:line="480" w:lineRule="auto"/>
        <w:rPr>
          <w:rFonts w:ascii="宋体" w:hAnsi="宋体"/>
          <w:bCs/>
          <w:color w:val="auto"/>
          <w:sz w:val="24"/>
          <w:szCs w:val="24"/>
          <w:highlight w:val="none"/>
        </w:rPr>
      </w:pPr>
      <w:r/>
      <w:bookmarkStart w:id="272"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JSZC-320282-XDFH-G2026-0011</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72"/>
      <w:r/>
      <w:r/>
    </w:p>
    <w:p>
      <w:pPr>
        <w:ind w:left="1"/>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92"/>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00"/>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900"/>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900"/>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900"/>
              <w:jc w:val="center"/>
              <w:widowControl/>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学生课桌椅、教师办公桌椅、宿舍床等家具（第二批）采购项目</w:t>
            </w:r>
            <w:r/>
          </w:p>
        </w:tc>
        <w:tc>
          <w:tcPr>
            <w:tcW w:w="2733" w:type="dxa"/>
            <w:vAlign w:val="center"/>
            <w:textDirection w:val="lrTb"/>
            <w:noWrap w:val="false"/>
          </w:tcPr>
          <w:p>
            <w:pPr>
              <w:pStyle w:val="900"/>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900"/>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900"/>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900"/>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tc>
      </w:tr>
    </w:tbl>
    <w:p>
      <w:pPr>
        <w:pStyle w:val="893"/>
        <w:rPr>
          <w:rFonts w:hint="eastAsia" w:ascii="宋体" w:hAnsi="宋体"/>
          <w:color w:val="auto"/>
          <w:sz w:val="28"/>
          <w:szCs w:val="28"/>
          <w:highlight w:val="none"/>
        </w:rPr>
      </w:pPr>
      <w:r>
        <w:rPr>
          <w:rFonts w:hint="eastAsia" w:ascii="宋体" w:hAnsi="宋体"/>
          <w:color w:val="auto"/>
          <w:sz w:val="28"/>
          <w:szCs w:val="28"/>
          <w:highlight w:val="none"/>
        </w:rPr>
      </w:r>
      <w:r/>
    </w:p>
    <w:p>
      <w:pPr>
        <w:pStyle w:val="900"/>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894"/>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15"/>
        <w:ind w:firstLine="0"/>
        <w:spacing w:before="0" w:after="0"/>
        <w:rPr>
          <w:rFonts w:ascii="黑体" w:eastAsia="黑体"/>
          <w:bCs/>
          <w:color w:val="auto"/>
          <w:sz w:val="36"/>
          <w:highlight w:val="none"/>
        </w:rPr>
      </w:pPr>
      <w:r>
        <w:rPr>
          <w:rFonts w:ascii="黑体" w:hAnsi="宋体" w:eastAsia="黑体"/>
          <w:bCs/>
          <w:color w:val="auto"/>
          <w:sz w:val="24"/>
          <w:szCs w:val="24"/>
          <w:highlight w:val="none"/>
        </w:rPr>
        <w:br w:type="page" w:clear="all"/>
      </w:r>
      <w:bookmarkEnd w:id="271"/>
      <w:r/>
      <w:bookmarkStart w:id="273" w:name="OLE_LINK81"/>
      <w:r>
        <w:rPr>
          <w:rFonts w:hint="eastAsia" w:cs="Arial"/>
          <w:b/>
          <w:color w:val="auto"/>
          <w:sz w:val="28"/>
          <w:szCs w:val="28"/>
          <w:highlight w:val="none"/>
          <w:lang w:val="en-US" w:eastAsia="zh-CN"/>
        </w:rPr>
        <w:t xml:space="preserve">三、</w:t>
      </w:r>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p>
    <w:p>
      <w:pPr>
        <w:jc w:val="center"/>
        <w:spacing w:before="156" w:after="156"/>
        <w:rPr>
          <w:rFonts w:ascii="黑体" w:eastAsia="黑体"/>
          <w:bCs/>
          <w:color w:val="auto"/>
          <w:sz w:val="32"/>
          <w:highlight w:val="none"/>
        </w:rPr>
      </w:pPr>
      <w:r/>
      <w:bookmarkStart w:id="274" w:name="报价方关于资格的声明函（格式）"/>
      <w:r/>
      <w:bookmarkEnd w:id="274"/>
      <w:r/>
      <w:bookmarkStart w:id="275" w:name="_Toc24943"/>
      <w:r>
        <w:rPr>
          <w:rFonts w:hint="eastAsia" w:ascii="黑体" w:eastAsia="黑体"/>
          <w:bCs/>
          <w:color w:val="auto"/>
          <w:sz w:val="28"/>
          <w:szCs w:val="28"/>
          <w:highlight w:val="none"/>
        </w:rPr>
        <w:t xml:space="preserve">关于资格的声明函</w:t>
      </w:r>
      <w:bookmarkEnd w:id="275"/>
      <w:r/>
      <w:r/>
    </w:p>
    <w:p>
      <w:pPr>
        <w:jc w:val="center"/>
        <w:spacing w:line="480" w:lineRule="auto"/>
        <w:rPr>
          <w:rFonts w:ascii="宋体"/>
          <w:bCs/>
          <w:color w:val="auto"/>
          <w:sz w:val="24"/>
          <w:szCs w:val="24"/>
          <w:highlight w:val="none"/>
        </w:rPr>
      </w:pPr>
      <w:r/>
      <w:bookmarkStart w:id="276"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江苏省宜兴第一中学周铁分校</w:t>
      </w:r>
      <w:r>
        <w:rPr>
          <w:rFonts w:hint="eastAsia" w:ascii="宋体" w:hAnsi="宋体"/>
          <w:bCs/>
          <w:color w:val="auto"/>
          <w:sz w:val="24"/>
          <w:szCs w:val="24"/>
          <w:highlight w:val="none"/>
        </w:rPr>
        <w:t xml:space="preserve">：</w:t>
      </w:r>
      <w:bookmarkEnd w:id="276"/>
      <w:r/>
      <w:r/>
    </w:p>
    <w:p>
      <w:pPr>
        <w:ind w:firstLine="480"/>
        <w:spacing w:line="480" w:lineRule="auto"/>
        <w:rPr>
          <w:rFonts w:ascii="宋体"/>
          <w:bCs/>
          <w:color w:val="auto"/>
          <w:sz w:val="24"/>
          <w:szCs w:val="24"/>
          <w:highlight w:val="none"/>
        </w:rPr>
      </w:pPr>
      <w:r/>
      <w:bookmarkStart w:id="277" w:name="OLE_LINK243"/>
      <w:r>
        <w:rPr>
          <w:rFonts w:hint="eastAsia" w:ascii="宋体" w:hAnsi="宋体"/>
          <w:bCs/>
          <w:color w:val="auto"/>
          <w:sz w:val="24"/>
          <w:szCs w:val="24"/>
          <w:highlight w:val="none"/>
        </w:rPr>
        <w:t xml:space="preserve">我公司（单位、联合体）参加贵单位本项目</w:t>
      </w:r>
      <w:bookmarkStart w:id="278"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JSZC-320282-XDFH-G2026-0011</w:t>
      </w:r>
      <w:r>
        <w:rPr>
          <w:rFonts w:hint="eastAsia" w:ascii="宋体" w:hAnsi="宋体"/>
          <w:bCs/>
          <w:color w:val="auto"/>
          <w:sz w:val="24"/>
          <w:szCs w:val="24"/>
          <w:highlight w:val="none"/>
        </w:rPr>
        <w:t xml:space="preserve">）</w:t>
      </w:r>
      <w:bookmarkEnd w:id="278"/>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79" w:name="OLE_LINK242"/>
      <w:r>
        <w:rPr>
          <w:rFonts w:hint="eastAsia" w:ascii="宋体" w:hAnsi="宋体" w:cs="宋体"/>
          <w:color w:val="auto"/>
          <w:sz w:val="24"/>
          <w:szCs w:val="24"/>
          <w:highlight w:val="none"/>
          <w:lang w:bidi="ar"/>
        </w:rPr>
        <w:t xml:space="preserve">有效期限</w:t>
      </w:r>
      <w:bookmarkEnd w:id="279"/>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eastAsia="zh-CN"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277"/>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hint="eastAsia" w:ascii="宋体" w:hAnsi="宋体"/>
          <w:color w:val="auto"/>
          <w:sz w:val="24"/>
          <w:szCs w:val="28"/>
          <w:highlight w:val="none"/>
        </w:rPr>
      </w:pPr>
      <w:r>
        <w:rPr>
          <w:rFonts w:ascii="宋体" w:hAnsi="宋体"/>
          <w:bCs/>
          <w:color w:val="auto"/>
          <w:sz w:val="24"/>
          <w:szCs w:val="24"/>
          <w:highlight w:val="none"/>
        </w:rPr>
        <w:t xml:space="preserve">                                     </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3"/>
      <w:r/>
      <w:r/>
    </w:p>
    <w:p>
      <w:pPr>
        <w:jc w:val="left"/>
        <w:spacing w:line="360" w:lineRule="auto"/>
        <w:rPr>
          <w:rFonts w:hint="eastAsia" w:ascii="黑体" w:eastAsia="黑体"/>
          <w:bCs/>
          <w:color w:val="auto"/>
          <w:sz w:val="28"/>
          <w:szCs w:val="28"/>
          <w:highlight w:val="none"/>
        </w:rPr>
      </w:pPr>
      <w:r/>
      <w:bookmarkStart w:id="280" w:name="OLE_LINK152"/>
      <w:r/>
      <w:bookmarkStart w:id="281"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280"/>
      <w:r/>
      <w:bookmarkEnd w:id="281"/>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bookmarkStart w:id="282" w:name="_Hlk135833699"/>
      <w:r/>
      <w:bookmarkStart w:id="283" w:name="_Hlk140046437"/>
      <w:r/>
      <w:bookmarkStart w:id="284" w:name="_Hlk144474232"/>
      <w:r>
        <w:rPr>
          <w:rFonts w:hint="eastAsia" w:ascii="黑体" w:hAnsi="Arial" w:eastAsia="黑体" w:cs="Times New Roman"/>
          <w:bCs/>
          <w:color w:val="auto"/>
          <w:sz w:val="28"/>
          <w:szCs w:val="28"/>
          <w:highlight w:val="none"/>
          <w:lang w:val="en-US" w:eastAsia="zh-CN" w:bidi="ar-SA"/>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cs="Times New Roman"/>
          <w:bCs/>
          <w:color w:val="auto"/>
          <w:sz w:val="28"/>
          <w:szCs w:val="28"/>
          <w:highlight w:val="none"/>
          <w:lang w:val="en-US" w:eastAsia="zh-CN" w:bidi="ar-SA"/>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rPr>
          <w:rFonts w:hint="eastAsia" w:ascii="黑体" w:hAnsi="Arial" w:eastAsia="黑体" w:cs="Times New Roman"/>
          <w:bCs/>
          <w:color w:val="auto"/>
          <w:sz w:val="28"/>
          <w:szCs w:val="28"/>
          <w:highlight w:val="none"/>
          <w:lang w:val="en-US" w:eastAsia="zh-CN" w:bidi="ar-SA"/>
        </w:rPr>
        <w:t xml:space="preserve">）：</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285" w:name="OLE_LINK186"/>
      <w:r>
        <w:rPr>
          <w:rFonts w:hint="eastAsia" w:ascii="宋体" w:hAnsi="宋体"/>
          <w:bCs/>
          <w:color w:val="auto"/>
          <w:sz w:val="24"/>
          <w:highlight w:val="none"/>
          <w:lang w:val="zh-CN"/>
        </w:rPr>
        <w:t xml:space="preserve">江苏省宜兴第一中学周铁分校、</w:t>
      </w:r>
      <w:bookmarkEnd w:id="285"/>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86"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86"/>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代表我公司（单位）全权办理针对本项目（项目编号：JSZC-320282-XDFH-G2026-0011）的投标，以我方名义签署、确认、澄清、提交、撤回、修改相关文件和处理投标活动有关事宜，其法律后果由我方承担。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hint="default" w:ascii="黑体" w:hAnsi="宋体" w:eastAsia="黑体"/>
          <w:bCs/>
          <w:color w:val="auto"/>
          <w:sz w:val="24"/>
          <w:szCs w:val="24"/>
          <w:highlight w:val="none"/>
          <w:lang w:val="en-US" w:eastAsia="zh-CN"/>
        </w:rPr>
      </w:pPr>
      <w:r>
        <w:rPr>
          <w:rFonts w:hint="eastAsia"/>
          <w:color w:val="auto"/>
          <w:sz w:val="24"/>
          <w:szCs w:val="24"/>
          <w:highlight w:val="none"/>
        </w:rPr>
        <w:t xml:space="preserve">投标人</w:t>
      </w:r>
      <w:r>
        <w:rPr>
          <w:color w:val="auto"/>
          <w:sz w:val="24"/>
          <w:szCs w:val="24"/>
          <w:highlight w:val="none"/>
        </w:rPr>
        <w:t xml:space="preserve">（电子签章）：</w:t>
      </w:r>
      <w:r>
        <w:rPr>
          <w:rFonts w:hint="eastAsia" w:ascii="黑体" w:hAnsi="宋体" w:eastAsia="黑体"/>
          <w:bCs/>
          <w:color w:val="auto"/>
          <w:sz w:val="24"/>
          <w:szCs w:val="24"/>
          <w:highlight w:val="none"/>
          <w:lang w:val="en-US" w:eastAsia="zh-CN"/>
        </w:rPr>
        <w:t xml:space="preserve"> </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both"/>
        <w:rPr>
          <w:color w:val="auto"/>
          <w:sz w:val="24"/>
          <w:szCs w:val="24"/>
          <w:highlight w:val="none"/>
        </w:rPr>
      </w:pPr>
      <w:r>
        <w:rPr>
          <w:color w:val="auto"/>
          <w:sz w:val="24"/>
          <w:szCs w:val="24"/>
          <w:highlight w:val="none"/>
        </w:rPr>
        <w:br w:type="page" w:clear="all"/>
      </w:r>
      <w:bookmarkEnd w:id="282"/>
      <w:r/>
      <w:bookmarkEnd w:id="283"/>
      <w:r/>
      <w:bookmarkEnd w:id="284"/>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中小企业声明函（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t xml:space="preserve">1、</w:t>
      </w:r>
      <w:r>
        <w:rPr>
          <w:rFonts w:hint="eastAsia" w:ascii="黑体" w:hAnsi="黑体" w:eastAsia="黑体"/>
          <w:color w:val="auto"/>
          <w:sz w:val="24"/>
          <w:szCs w:val="24"/>
          <w:highlight w:val="none"/>
        </w:rPr>
        <w:t xml:space="preserve">中小企业声明函</w:t>
      </w:r>
      <w:r>
        <w:rPr>
          <w:rFonts w:hint="eastAsia" w:ascii="黑体" w:hAnsi="黑体" w:eastAsia="黑体"/>
          <w:color w:val="auto"/>
          <w:sz w:val="24"/>
          <w:szCs w:val="24"/>
          <w:highlight w:val="none"/>
          <w:lang w:eastAsia="zh-CN"/>
        </w:rPr>
        <w:t xml:space="preserve">（</w:t>
      </w:r>
      <w:r>
        <w:rPr>
          <w:rFonts w:hint="eastAsia" w:ascii="黑体" w:hAnsi="黑体" w:eastAsia="黑体"/>
          <w:color w:val="auto"/>
          <w:sz w:val="24"/>
          <w:szCs w:val="24"/>
          <w:highlight w:val="none"/>
          <w:lang w:val="en-US" w:eastAsia="zh-CN"/>
        </w:rPr>
        <w:t xml:space="preserve">货物</w:t>
      </w:r>
      <w:r>
        <w:rPr>
          <w:rFonts w:hint="eastAsia" w:ascii="黑体" w:hAnsi="黑体" w:eastAsia="黑体"/>
          <w:color w:val="auto"/>
          <w:sz w:val="24"/>
          <w:szCs w:val="24"/>
          <w:highlight w:val="none"/>
          <w:lang w:eastAsia="zh-CN"/>
        </w:rPr>
        <w:t xml:space="preserve">）</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货物</w:t>
      </w:r>
      <w:r>
        <w:rPr>
          <w:rFonts w:hint="eastAsia" w:ascii="黑体" w:eastAsia="黑体"/>
          <w:bCs/>
          <w:color w:val="auto"/>
          <w:sz w:val="28"/>
          <w:szCs w:val="28"/>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江苏省宜兴第一中学周铁分校</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学生课桌椅、教师办公桌椅、宿舍床等家具（第二批）采购项目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902"/>
        <w:tblW w:w="10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spacing w:line="240" w:lineRule="auto"/>
              <w:rPr>
                <w:rFonts w:hint="eastAsia" w:ascii="宋体" w:hAnsi="宋体" w:eastAsia="宋体" w:cs="Times New Roman"/>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序号</w:t>
            </w:r>
            <w:r/>
          </w:p>
        </w:tc>
        <w:tc>
          <w:tcPr>
            <w:tcW w:w="1231" w:type="dxa"/>
            <w:vAlign w:val="center"/>
            <w:textDirection w:val="lrTb"/>
            <w:noWrap w:val="false"/>
          </w:tcPr>
          <w:p>
            <w:pPr>
              <w:jc w:val="center"/>
              <w:spacing w:line="240" w:lineRule="auto"/>
              <w:rPr>
                <w:rFonts w:ascii="宋体" w:hAnsi="宋体" w:eastAsia="宋体" w:cs="Times New Roman"/>
                <w:bCs/>
                <w:color w:val="auto"/>
                <w:sz w:val="24"/>
                <w:szCs w:val="24"/>
                <w:highlight w:val="none"/>
              </w:rPr>
            </w:pPr>
            <w:r>
              <w:rPr>
                <w:rFonts w:hint="eastAsia" w:asciiTheme="majorEastAsia" w:hAnsiTheme="majorEastAsia" w:eastAsiaTheme="majorEastAsia" w:cstheme="majorEastAsia"/>
                <w:b/>
                <w:bCs w:val="0"/>
                <w:color w:val="auto"/>
                <w:sz w:val="21"/>
                <w:szCs w:val="21"/>
                <w:highlight w:val="none"/>
              </w:rPr>
              <w:t xml:space="preserve">标的名称</w:t>
            </w:r>
            <w:r/>
          </w:p>
        </w:tc>
        <w:tc>
          <w:tcPr>
            <w:tcW w:w="1231"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所属行业</w:t>
            </w:r>
            <w:r/>
          </w:p>
        </w:tc>
        <w:tc>
          <w:tcPr>
            <w:tcW w:w="1717" w:type="dxa"/>
            <w:vAlign w:val="center"/>
            <w:textDirection w:val="lrTb"/>
            <w:noWrap w:val="false"/>
          </w:tcPr>
          <w:p>
            <w:pPr>
              <w:jc w:val="center"/>
              <w:spacing w:line="240" w:lineRule="auto"/>
              <w:rPr>
                <w:rFonts w:hint="default"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制造商</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（企业名称）</w:t>
            </w:r>
            <w:r/>
          </w:p>
        </w:tc>
        <w:tc>
          <w:tcPr>
            <w:tcW w:w="1312"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从业人员（人）</w:t>
            </w:r>
            <w:r/>
          </w:p>
        </w:tc>
        <w:tc>
          <w:tcPr>
            <w:tcW w:w="1338"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营业收入</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（万元）</w:t>
            </w:r>
            <w:r/>
          </w:p>
        </w:tc>
        <w:tc>
          <w:tcPr>
            <w:tcW w:w="1300"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资产总额（万元）</w:t>
            </w:r>
            <w:r/>
          </w:p>
        </w:tc>
        <w:tc>
          <w:tcPr>
            <w:tcW w:w="1368" w:type="dxa"/>
            <w:vAlign w:val="center"/>
            <w:textDirection w:val="lrTb"/>
            <w:noWrap w:val="false"/>
          </w:tcPr>
          <w:p>
            <w:pPr>
              <w:jc w:val="center"/>
              <w:spacing w:line="240" w:lineRule="auto"/>
              <w:rPr>
                <w:rFonts w:hint="default" w:ascii="宋体" w:hAnsi="宋体" w:eastAsia="宋体"/>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企业类型（中型企业、小型企业、微型企业）</w:t>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ind w:firstLine="240"/>
              <w:spacing w:line="580" w:lineRule="exact"/>
              <w:rPr>
                <w:rFonts w:hint="eastAsia" w:ascii="宋体" w:hAnsi="宋体" w:eastAsia="宋体"/>
                <w:bCs/>
                <w:color w:val="auto"/>
                <w:sz w:val="24"/>
                <w:szCs w:val="24"/>
                <w:highlight w:val="none"/>
                <w:vertAlign w:val="baseline"/>
                <w:lang w:val="en-US" w:eastAsia="zh-CN"/>
              </w:rPr>
            </w:pPr>
            <w:r>
              <w:rPr>
                <w:rFonts w:hint="eastAsia" w:ascii="宋体" w:hAnsi="宋体" w:eastAsia="宋体"/>
                <w:bCs/>
                <w:color w:val="auto"/>
                <w:sz w:val="24"/>
                <w:szCs w:val="24"/>
                <w:highlight w:val="none"/>
                <w:vertAlign w:val="baseline"/>
                <w:lang w:val="en-US" w:eastAsia="zh-CN"/>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bl>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jc w:val="right"/>
        <w:spacing w:line="580" w:lineRule="exact"/>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5670" w:right="960" w:hanging="5250"/>
        <w:jc w:val="left"/>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本项目</w:t>
      </w:r>
      <w:r>
        <w:rPr>
          <w:rFonts w:hint="eastAsia" w:asciiTheme="majorEastAsia" w:hAnsiTheme="majorEastAsia" w:eastAsiaTheme="majorEastAsia" w:cstheme="majorEastAsia"/>
          <w:b/>
          <w:bCs w:val="0"/>
          <w:color w:val="auto"/>
          <w:sz w:val="21"/>
          <w:szCs w:val="21"/>
          <w:highlight w:val="none"/>
          <w:lang w:val="en-US" w:eastAsia="zh-CN"/>
        </w:rPr>
        <w:t xml:space="preserve">所属行业详见“第三章 项目技术要求和有关说明”，</w:t>
      </w:r>
      <w:r>
        <w:rPr>
          <w:rFonts w:hint="eastAsia" w:ascii="宋体" w:hAnsi="宋体"/>
          <w:bCs/>
          <w:color w:val="auto"/>
          <w:szCs w:val="21"/>
          <w:highlight w:val="none"/>
        </w:rPr>
        <w:t xml:space="preserve">投标人应完整准确填写</w:t>
      </w:r>
      <w:r>
        <w:rPr>
          <w:rFonts w:hint="eastAsia" w:ascii="宋体" w:hAnsi="宋体"/>
          <w:bCs/>
          <w:color w:val="auto"/>
          <w:szCs w:val="21"/>
          <w:highlight w:val="none"/>
          <w:lang w:val="en-US" w:eastAsia="zh-CN"/>
        </w:rPr>
        <w:t xml:space="preserve">上表</w:t>
      </w:r>
      <w:r>
        <w:rPr>
          <w:rFonts w:hint="eastAsia" w:ascii="宋体" w:hAnsi="宋体"/>
          <w:bCs/>
          <w:color w:val="auto"/>
          <w:szCs w:val="21"/>
          <w:highlight w:val="none"/>
        </w:rPr>
        <w:t xml:space="preserve">相关内容</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其中“</w:t>
      </w:r>
      <w:r>
        <w:rPr>
          <w:rFonts w:hint="eastAsia" w:asciiTheme="majorEastAsia" w:hAnsiTheme="majorEastAsia" w:eastAsiaTheme="majorEastAsia" w:cstheme="majorEastAsia"/>
          <w:b/>
          <w:bCs w:val="0"/>
          <w:color w:val="auto"/>
          <w:sz w:val="21"/>
          <w:szCs w:val="21"/>
          <w:highlight w:val="none"/>
          <w:lang w:val="en-US" w:eastAsia="zh-CN"/>
        </w:rPr>
        <w:t xml:space="preserve">企业类型</w:t>
      </w:r>
      <w:r>
        <w:rPr>
          <w:rFonts w:hint="eastAsia" w:ascii="宋体" w:hAnsi="宋体"/>
          <w:bCs/>
          <w:color w:val="auto"/>
          <w:szCs w:val="21"/>
          <w:highlight w:val="none"/>
          <w:lang w:val="en-US" w:eastAsia="zh-CN"/>
        </w:rPr>
        <w:t xml:space="preserve">”一栏，根据自身实际情况，从中型企业、 小型企业、微型企业中选择其一进行填报</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具体要求详见“第二章 投标人须知”中“3.6 </w:t>
      </w:r>
      <w:r>
        <w:rPr>
          <w:rFonts w:hint="eastAsia" w:ascii="宋体" w:hAnsi="宋体"/>
          <w:bCs/>
          <w:color w:val="auto"/>
          <w:szCs w:val="21"/>
          <w:highlight w:val="none"/>
        </w:rPr>
        <w:t xml:space="preserve">政府采购支持中小企业发展</w:t>
      </w:r>
      <w:r>
        <w:rPr>
          <w:rFonts w:hint="eastAsia" w:ascii="宋体" w:hAnsi="宋体"/>
          <w:bCs/>
          <w:color w:val="auto"/>
          <w:szCs w:val="21"/>
          <w:highlight w:val="none"/>
          <w:lang w:val="en-US" w:eastAsia="zh-CN"/>
        </w:rPr>
        <w:t xml:space="preserve">”</w:t>
      </w:r>
      <w:r>
        <w:rPr>
          <w:rFonts w:hint="eastAsia" w:ascii="宋体" w:hAnsi="宋体"/>
          <w:bCs/>
          <w:color w:val="auto"/>
          <w:szCs w:val="21"/>
          <w:highlight w:val="none"/>
        </w:rPr>
        <w:t xml:space="preserve">。</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pStyle w:val="901"/>
        <w:spacing w:line="360" w:lineRule="auto"/>
        <w:rPr>
          <w:rFonts w:hint="eastAsia" w:ascii="黑体" w:hAnsi="黑体" w:eastAsia="黑体"/>
          <w:color w:val="auto"/>
          <w:sz w:val="24"/>
          <w:szCs w:val="24"/>
          <w:highlight w:val="none"/>
          <w:lang w:val="en-US" w:eastAsia="zh-CN"/>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numPr>
          <w:ilvl w:val="0"/>
          <w:numId w:val="0"/>
        </w:numPr>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lang w:val="en-US" w:eastAsia="zh-CN"/>
        </w:rPr>
        <w:t xml:space="preserve">2、</w:t>
      </w:r>
      <w:r>
        <w:rPr>
          <w:rFonts w:hint="eastAsia" w:ascii="黑体" w:hAnsi="黑体" w:eastAsia="黑体"/>
          <w:color w:val="auto"/>
          <w:sz w:val="24"/>
          <w:szCs w:val="24"/>
          <w:highlight w:val="none"/>
          <w:lang w:eastAsia="zh-CN"/>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lang w:val="en-US" w:eastAsia="zh-CN"/>
        </w:rPr>
        <w:t xml:space="preserve"> 江苏省宜兴第一中学周铁分校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val="en-US" w:eastAsia="zh-CN"/>
        </w:rPr>
        <w:t xml:space="preserve"> 学生课桌椅、教师办公桌椅、宿舍床等家具（第二批）采购项目 </w:t>
      </w:r>
      <w:r>
        <w:rPr>
          <w:rFonts w:hint="eastAsia" w:ascii="宋体" w:hAnsi="宋体"/>
          <w:bCs/>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893"/>
        <w:rPr>
          <w:color w:val="auto"/>
          <w:highlight w:val="none"/>
        </w:rPr>
      </w:pPr>
      <w:r>
        <w:rPr>
          <w:color w:val="auto"/>
          <w:highlight w:val="none"/>
        </w:rPr>
      </w:r>
      <w:r/>
    </w:p>
    <w:p>
      <w:pPr>
        <w:pStyle w:val="901"/>
        <w:rPr>
          <w:rFonts w:hint="eastAsia"/>
          <w:color w:val="auto"/>
          <w:highlight w:val="none"/>
        </w:rPr>
      </w:pPr>
      <w:r>
        <w:rPr>
          <w:rFonts w:hint="eastAsia"/>
          <w:color w:val="auto"/>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93"/>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01"/>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pStyle w:val="901"/>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rPr>
          <w:rFonts w:hint="eastAsia" w:ascii="黑体" w:hAnsi="黑体" w:eastAsia="黑体"/>
          <w:color w:val="auto"/>
          <w:sz w:val="28"/>
          <w:szCs w:val="28"/>
          <w:highlight w:val="none"/>
        </w:rPr>
        <w:t xml:space="preserve">六、关于符合本国产品标准的声明函（给定格式）</w:t>
      </w:r>
      <w:r>
        <w:rPr>
          <w:rFonts w:hint="eastAsia" w:ascii="黑体" w:hAnsi="宋体" w:eastAsia="黑体"/>
          <w:bCs/>
          <w:color w:val="auto"/>
          <w:sz w:val="24"/>
          <w:szCs w:val="24"/>
          <w:highlight w:val="none"/>
        </w:rPr>
        <w:t xml:space="preserve">：</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关于符合本国产品标准的声明函</w:t>
      </w:r>
      <w:r/>
    </w:p>
    <w:p>
      <w:p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3"/>
        </w:num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（产品名称1）</w:t>
      </w:r>
      <w:r>
        <w:rPr>
          <w:rFonts w:hint="eastAsia" w:ascii="宋体" w:hAnsi="宋体" w:cs="宋体"/>
          <w:b/>
          <w:bCs/>
          <w:color w:val="auto"/>
          <w:sz w:val="24"/>
          <w:szCs w:val="24"/>
          <w:highlight w:val="none"/>
          <w:u w:val="single"/>
          <w:vertAlign w:val="superscript"/>
        </w:rPr>
        <w:t xml:space="preserve">1</w:t>
      </w:r>
      <w:r>
        <w:rPr>
          <w:rFonts w:hint="eastAsia" w:ascii="宋体" w:hAnsi="宋体" w:cs="宋体"/>
          <w:bCs/>
          <w:color w:val="auto"/>
          <w:sz w:val="24"/>
          <w:szCs w:val="24"/>
          <w:highlight w:val="none"/>
        </w:rPr>
        <w:t xml:space="preserve">，生产厂为</w:t>
      </w:r>
      <w:r>
        <w:rPr>
          <w:rFonts w:hint="eastAsia" w:ascii="宋体" w:hAnsi="宋体" w:cs="宋体"/>
          <w:bCs/>
          <w:color w:val="auto"/>
          <w:sz w:val="24"/>
          <w:szCs w:val="24"/>
          <w:highlight w:val="none"/>
          <w:u w:val="single"/>
        </w:rPr>
        <w:t xml:space="preserve">（厂名）</w:t>
      </w:r>
      <w:r>
        <w:rPr>
          <w:rFonts w:hint="eastAsia" w:ascii="宋体" w:hAnsi="宋体" w:cs="宋体"/>
          <w:b/>
          <w:bCs/>
          <w:color w:val="auto"/>
          <w:sz w:val="24"/>
          <w:szCs w:val="24"/>
          <w:highlight w:val="none"/>
          <w:u w:val="single"/>
          <w:vertAlign w:val="superscript"/>
        </w:rPr>
        <w:t xml:space="preserve">2</w:t>
      </w:r>
      <w:r>
        <w:rPr>
          <w:rFonts w:hint="eastAsia" w:ascii="宋体" w:hAnsi="宋体" w:cs="宋体"/>
          <w:bCs/>
          <w:color w:val="auto"/>
          <w:sz w:val="24"/>
          <w:szCs w:val="24"/>
          <w:highlight w:val="none"/>
        </w:rPr>
        <w:t xml:space="preserve">，厂址为</w:t>
      </w:r>
      <w:r>
        <w:rPr>
          <w:rFonts w:hint="eastAsia" w:ascii="宋体" w:hAnsi="宋体" w:cs="宋体"/>
          <w:bCs/>
          <w:color w:val="auto"/>
          <w:sz w:val="24"/>
          <w:szCs w:val="24"/>
          <w:highlight w:val="none"/>
          <w:u w:val="single"/>
        </w:rPr>
        <w:t xml:space="preserve">（生产厂址）</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的中国境内生产的组件成本占比≥</w:t>
      </w:r>
      <w:r>
        <w:rPr>
          <w:rFonts w:hint="eastAsia" w:ascii="宋体" w:hAnsi="宋体" w:cs="宋体"/>
          <w:bCs/>
          <w:color w:val="auto"/>
          <w:sz w:val="24"/>
          <w:szCs w:val="24"/>
          <w:highlight w:val="none"/>
          <w:u w:val="single"/>
        </w:rPr>
        <w:t xml:space="preserve">（规定比例》</w:t>
      </w:r>
      <w:r>
        <w:rPr>
          <w:rFonts w:hint="eastAsia" w:ascii="宋体" w:hAnsi="宋体" w:cs="宋体"/>
          <w:b/>
          <w:bCs/>
          <w:color w:val="auto"/>
          <w:sz w:val="24"/>
          <w:szCs w:val="24"/>
          <w:highlight w:val="none"/>
          <w:vertAlign w:val="superscript"/>
        </w:rPr>
        <w:t xml:space="preserve">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（关键组件）</w:t>
      </w:r>
      <w:r>
        <w:rPr>
          <w:rFonts w:hint="eastAsia" w:ascii="宋体" w:hAnsi="宋体" w:cs="宋体"/>
          <w:b/>
          <w:bCs/>
          <w:color w:val="auto"/>
          <w:sz w:val="24"/>
          <w:szCs w:val="24"/>
          <w:highlight w:val="none"/>
          <w:vertAlign w:val="superscript"/>
        </w:rPr>
        <w:t xml:space="preserve">4</w:t>
      </w:r>
      <w:r>
        <w:rPr>
          <w:rFonts w:hint="eastAsia" w:ascii="宋体" w:hAnsi="宋体" w:cs="宋体"/>
          <w:bCs/>
          <w:color w:val="auto"/>
          <w:sz w:val="24"/>
          <w:szCs w:val="24"/>
          <w:highlight w:val="none"/>
        </w:rPr>
        <w:t xml:space="preserve">在中国境内生产。</w:t>
      </w:r>
      <w:r>
        <w:rPr>
          <w:rFonts w:hint="eastAsia" w:ascii="宋体" w:hAnsi="宋体" w:cs="宋体"/>
          <w:bCs/>
          <w:color w:val="auto"/>
          <w:sz w:val="24"/>
          <w:szCs w:val="24"/>
          <w:highlight w:val="none"/>
          <w:u w:val="single"/>
        </w:rPr>
        <w:t xml:space="preserve">（产品名称1）</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（关键工序）</w:t>
      </w:r>
      <w:r>
        <w:rPr>
          <w:rFonts w:hint="eastAsia" w:ascii="宋体" w:hAnsi="宋体" w:cs="宋体"/>
          <w:b/>
          <w:bCs/>
          <w:color w:val="auto"/>
          <w:sz w:val="24"/>
          <w:szCs w:val="24"/>
          <w:highlight w:val="none"/>
          <w:vertAlign w:val="superscript"/>
        </w:rPr>
        <w:t xml:space="preserve">5</w:t>
      </w:r>
      <w:r>
        <w:rPr>
          <w:rFonts w:hint="eastAsia" w:ascii="宋体" w:hAnsi="宋体" w:cs="宋体"/>
          <w:bCs/>
          <w:color w:val="auto"/>
          <w:sz w:val="24"/>
          <w:szCs w:val="24"/>
          <w:highlight w:val="none"/>
        </w:rPr>
        <w:t xml:space="preserve">在中国境内完成。</w:t>
      </w:r>
      <w:r/>
    </w:p>
    <w:p>
      <w:pPr>
        <w:numPr>
          <w:ilvl w:val="0"/>
          <w:numId w:val="13"/>
        </w:numPr>
        <w:ind w:firstLine="480"/>
        <w:spacing w:line="580" w:lineRule="exact"/>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，生产厂为</w:t>
      </w:r>
      <w:r>
        <w:rPr>
          <w:rFonts w:hint="eastAsia" w:ascii="宋体" w:hAnsi="宋体" w:cs="宋体"/>
          <w:bCs/>
          <w:color w:val="auto"/>
          <w:sz w:val="24"/>
          <w:szCs w:val="24"/>
          <w:highlight w:val="none"/>
          <w:u w:val="single"/>
        </w:rPr>
        <w:t xml:space="preserve">（厂名）</w:t>
      </w:r>
      <w:r>
        <w:rPr>
          <w:rFonts w:hint="eastAsia" w:ascii="宋体" w:hAnsi="宋体" w:cs="宋体"/>
          <w:bCs/>
          <w:color w:val="auto"/>
          <w:sz w:val="24"/>
          <w:szCs w:val="24"/>
          <w:highlight w:val="none"/>
        </w:rPr>
        <w:t xml:space="preserve">，厂址为</w:t>
      </w:r>
      <w:r>
        <w:rPr>
          <w:rFonts w:hint="eastAsia" w:ascii="宋体" w:hAnsi="宋体" w:cs="宋体"/>
          <w:bCs/>
          <w:color w:val="auto"/>
          <w:sz w:val="24"/>
          <w:szCs w:val="24"/>
          <w:highlight w:val="none"/>
          <w:u w:val="single"/>
        </w:rPr>
        <w:t xml:space="preserve">（生产厂址）</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的中国境内生产的组件成本占比≥</w:t>
      </w:r>
      <w:r>
        <w:rPr>
          <w:rFonts w:hint="eastAsia" w:ascii="宋体" w:hAnsi="宋体" w:cs="宋体"/>
          <w:bCs/>
          <w:color w:val="auto"/>
          <w:sz w:val="24"/>
          <w:szCs w:val="24"/>
          <w:highlight w:val="none"/>
          <w:u w:val="single"/>
        </w:rPr>
        <w:t xml:space="preserve">（规定比例》</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（关键组件）</w:t>
      </w:r>
      <w:r>
        <w:rPr>
          <w:rFonts w:hint="eastAsia" w:ascii="宋体" w:hAnsi="宋体" w:cs="宋体"/>
          <w:bCs/>
          <w:color w:val="auto"/>
          <w:sz w:val="24"/>
          <w:szCs w:val="24"/>
          <w:highlight w:val="none"/>
        </w:rPr>
        <w:t xml:space="preserve">在中国境内生产。</w:t>
      </w:r>
      <w:r>
        <w:rPr>
          <w:rFonts w:hint="eastAsia" w:ascii="宋体" w:hAnsi="宋体" w:cs="宋体"/>
          <w:bCs/>
          <w:color w:val="auto"/>
          <w:sz w:val="24"/>
          <w:szCs w:val="24"/>
          <w:highlight w:val="none"/>
          <w:u w:val="single"/>
        </w:rPr>
        <w:t xml:space="preserve">（产品名称2）</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（关键工序）</w:t>
      </w:r>
      <w:r>
        <w:rPr>
          <w:rFonts w:hint="eastAsia" w:ascii="宋体" w:hAnsi="宋体" w:cs="宋体"/>
          <w:bCs/>
          <w:color w:val="auto"/>
          <w:sz w:val="24"/>
          <w:szCs w:val="24"/>
          <w:highlight w:val="none"/>
        </w:rPr>
        <w:t xml:space="preserve">在中国境内完成。</w:t>
      </w:r>
      <w:r/>
    </w:p>
    <w:p>
      <w:pPr>
        <w:pStyle w:val="900"/>
        <w:ind w:firstLine="420"/>
        <w:jc w:val="both"/>
        <w:spacing w:before="0" w:beforeAutospacing="0" w:after="0" w:afterAutospacing="0"/>
        <w:shd w:val="clear" w:color="auto" w:fill="ffffff"/>
        <w:widowControl/>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r>
      <w:r/>
    </w:p>
    <w:p>
      <w:pPr>
        <w:pStyle w:val="900"/>
        <w:ind w:firstLine="420"/>
        <w:jc w:val="both"/>
        <w:spacing w:before="0" w:beforeAutospacing="0" w:after="0" w:afterAutospacing="0"/>
        <w:shd w:val="clear" w:color="auto" w:fill="ffffff"/>
        <w:widowControl/>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w:t>
      </w:r>
      <w:r/>
    </w:p>
    <w:p>
      <w:pPr>
        <w:pStyle w:val="900"/>
        <w:ind w:firstLine="420"/>
        <w:jc w:val="both"/>
        <w:spacing w:before="0" w:beforeAutospacing="0" w:after="0" w:afterAutospacing="0"/>
        <w:shd w:val="clear" w:color="auto" w:fill="ffffff"/>
        <w:widowControl/>
        <w:rPr>
          <w:rFonts w:ascii="宋体" w:hAnsi="宋体" w:cs="宋体"/>
          <w:bCs/>
          <w:color w:val="auto"/>
          <w:szCs w:val="24"/>
          <w:highlight w:val="none"/>
        </w:rPr>
      </w:pPr>
      <w:r>
        <w:rPr>
          <w:rFonts w:ascii="宋体" w:hAnsi="宋体" w:cs="宋体"/>
          <w:bCs/>
          <w:color w:val="auto"/>
          <w:szCs w:val="24"/>
          <w:highlight w:val="none"/>
        </w:rPr>
      </w:r>
      <w:r/>
    </w:p>
    <w:p>
      <w:pPr>
        <w:rPr>
          <w:color w:val="auto"/>
          <w:sz w:val="24"/>
          <w:szCs w:val="24"/>
          <w:highlight w:val="none"/>
        </w:rPr>
      </w:pPr>
      <w:r>
        <w:rPr>
          <w:rFonts w:hint="eastAsia"/>
          <w:color w:val="auto"/>
          <w:sz w:val="24"/>
          <w:szCs w:val="24"/>
          <w:highlight w:val="none"/>
        </w:rPr>
        <w:t xml:space="preserve">本公司（单位）对上述声明内容的真实性负责。如有虚假，愿承担相应法律责任。</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jc w:val="right"/>
        <w:rPr>
          <w:color w:val="auto"/>
          <w:sz w:val="24"/>
          <w:szCs w:val="24"/>
          <w:highlight w:val="none"/>
        </w:rPr>
      </w:pPr>
      <w:r>
        <w:rPr>
          <w:rFonts w:hint="eastAsia"/>
          <w:color w:val="auto"/>
          <w:sz w:val="24"/>
          <w:szCs w:val="24"/>
          <w:highlight w:val="none"/>
        </w:rPr>
        <w:t xml:space="preserve"> 投标人（电子签章）：</w:t>
      </w:r>
      <w:r/>
    </w:p>
    <w:p>
      <w:pPr>
        <w:pStyle w:val="900"/>
        <w:ind w:firstLine="420"/>
        <w:jc w:val="right"/>
        <w:spacing w:before="0" w:beforeAutospacing="0" w:after="0" w:afterAutospacing="0"/>
        <w:shd w:val="clear" w:color="auto" w:fill="ffffff"/>
        <w:widowControl/>
        <w:rPr>
          <w:rFonts w:ascii="宋体" w:hAnsi="宋体"/>
          <w:bCs/>
          <w:color w:val="auto"/>
          <w:szCs w:val="24"/>
          <w:highlight w:val="none"/>
        </w:rPr>
      </w:pPr>
      <w:r>
        <w:rPr>
          <w:rFonts w:ascii="宋体" w:hAnsi="宋体"/>
          <w:bCs/>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注：</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1.产品如有型号，请在“产品名称”栏一并填写。</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2.生产厂名与厂址应与生产厂营业执照载明的相关信息保持一致。</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3.该产品的中国境内生产的组件成本占比相关要求实施前，“规定比例”栏可不填，下同。</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4.该产品的关键组件要求实施前，“关键组件”栏可不填，下同。</w:t>
      </w:r>
      <w:r/>
    </w:p>
    <w:p>
      <w:pPr>
        <w:ind w:left="4778" w:hanging="4777"/>
        <w:jc w:val="left"/>
        <w:rPr>
          <w:rFonts w:ascii="宋体" w:hAnsi="宋体"/>
          <w:color w:val="auto"/>
          <w:szCs w:val="21"/>
          <w:highlight w:val="none"/>
        </w:rPr>
      </w:pPr>
      <w:r>
        <w:rPr>
          <w:rFonts w:hint="eastAsia" w:ascii="宋体" w:hAnsi="宋体"/>
          <w:color w:val="auto"/>
          <w:szCs w:val="21"/>
          <w:highlight w:val="none"/>
        </w:rPr>
        <w:t xml:space="preserve">5.该产品的关键工序要求实施前，“关键工序”栏可不填，下同。</w:t>
      </w:r>
      <w:r/>
    </w:p>
    <w:p>
      <w:pPr>
        <w:rPr>
          <w:rFonts w:ascii="宋体" w:hAnsi="宋体"/>
          <w:color w:val="auto"/>
          <w:szCs w:val="21"/>
          <w:highlight w:val="none"/>
        </w:rPr>
      </w:pPr>
      <w:r>
        <w:rPr>
          <w:rFonts w:hint="eastAsia" w:ascii="宋体" w:hAnsi="宋体"/>
          <w:color w:val="auto"/>
          <w:szCs w:val="21"/>
          <w:highlight w:val="none"/>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287"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288" w:name="_Hlk166058340"/>
      <w:r>
        <w:rPr>
          <w:rFonts w:hint="eastAsia" w:ascii="宋体" w:hAnsi="宋体"/>
          <w:color w:val="auto"/>
          <w:sz w:val="24"/>
          <w:szCs w:val="21"/>
          <w:highlight w:val="none"/>
          <w:lang w:val="zh-CN"/>
        </w:rPr>
        <w:t xml:space="preserve">（项目编号：JSZC-320282-XDFH-G2026-0011）</w:t>
      </w:r>
      <w:bookmarkEnd w:id="288"/>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4"/>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jc w:val="left"/>
        <w:spacing w:line="360" w:lineRule="auto"/>
        <w:rPr>
          <w:rFonts w:hint="eastAsia" w:ascii="宋体" w:hAnsi="宋体"/>
          <w:bCs/>
          <w:color w:val="auto"/>
          <w:szCs w:val="21"/>
          <w:highlight w:val="none"/>
          <w:lang w:val="zh-CN"/>
        </w:rPr>
      </w:pPr>
      <w:r/>
      <w:bookmarkStart w:id="289" w:name="_Hlk151451066"/>
      <w:r>
        <w:rPr>
          <w:rFonts w:hint="eastAsia" w:ascii="宋体" w:hAnsi="宋体"/>
          <w:bCs/>
          <w:color w:val="auto"/>
          <w:szCs w:val="21"/>
          <w:highlight w:val="none"/>
        </w:rPr>
        <w:t xml:space="preserve">注：如采购人</w:t>
      </w:r>
      <w:r>
        <w:rPr>
          <w:rFonts w:hint="eastAsia" w:ascii="宋体" w:hAnsi="宋体"/>
          <w:bCs/>
          <w:color w:val="auto"/>
          <w:szCs w:val="21"/>
          <w:highlight w:val="none"/>
          <w:lang w:val="en-US" w:eastAsia="zh-CN"/>
        </w:rPr>
        <w:t xml:space="preserve">接受</w:t>
      </w:r>
      <w:r>
        <w:rPr>
          <w:rFonts w:hint="eastAsia" w:ascii="宋体" w:hAnsi="宋体"/>
          <w:bCs/>
          <w:color w:val="auto"/>
          <w:szCs w:val="21"/>
          <w:highlight w:val="none"/>
        </w:rPr>
        <w:t xml:space="preserve">联合体且投标人组成联合体的，应提供有效的联合体协议书，否则无需提供。</w:t>
      </w:r>
      <w:bookmarkEnd w:id="289"/>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560"/>
        <w:rPr>
          <w:rFonts w:hint="eastAsia" w:ascii="黑体" w:hAnsi="黑体" w:eastAsia="黑体"/>
          <w:color w:val="auto"/>
          <w:sz w:val="28"/>
          <w:szCs w:val="28"/>
          <w:highlight w:val="none"/>
        </w:rPr>
      </w:pPr>
      <w:r/>
      <w:bookmarkStart w:id="290" w:name="OLE_LINK82"/>
      <w:r/>
      <w:r/>
    </w:p>
    <w:p>
      <w:pPr>
        <w:rPr>
          <w:rFonts w:hint="eastAsia" w:ascii="黑体" w:hAnsi="宋体" w:eastAsia="黑体"/>
          <w:bCs/>
          <w:color w:val="auto"/>
          <w:sz w:val="24"/>
          <w:szCs w:val="24"/>
          <w:highlight w:val="none"/>
        </w:rPr>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分包情况说明</w:t>
      </w:r>
      <w:bookmarkEnd w:id="290"/>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87"/>
      <w:r/>
      <w:r/>
    </w:p>
    <w:p>
      <w:pPr>
        <w:ind w:left="420" w:firstLine="480"/>
        <w:jc w:val="left"/>
        <w:spacing w:line="360" w:lineRule="auto"/>
        <w:tabs>
          <w:tab w:val="left" w:pos="255" w:leader="none"/>
        </w:tabs>
        <w:rPr>
          <w:rFonts w:hint="eastAsia" w:ascii="宋体" w:hAnsi="宋体"/>
          <w:color w:val="auto"/>
          <w:sz w:val="24"/>
          <w:szCs w:val="21"/>
          <w:highlight w:val="none"/>
        </w:rPr>
      </w:pPr>
      <w:r/>
      <w:bookmarkStart w:id="291"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（项目编号：JSZC-320282-XDFH-G2026-0011）</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hint="eastAsia" w:ascii="宋体" w:hAnsi="宋体"/>
          <w:color w:val="auto"/>
          <w:sz w:val="24"/>
          <w:szCs w:val="21"/>
          <w:highlight w:val="none"/>
        </w:rPr>
      </w:pPr>
      <w:r/>
      <w:bookmarkStart w:id="292" w:name="OLE_LINK203"/>
      <w:r/>
      <w:bookmarkEnd w:id="292"/>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91"/>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pStyle w:val="89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94"/>
        <w:rPr>
          <w:rFonts w:ascii="宋体" w:hAnsi="宋体"/>
          <w:bCs/>
          <w:color w:val="auto"/>
          <w:sz w:val="24"/>
          <w:szCs w:val="24"/>
          <w:highlight w:val="none"/>
        </w:rPr>
      </w:pPr>
      <w:r>
        <w:rPr>
          <w:rFonts w:hint="eastAsia" w:ascii="宋体" w:hAnsi="宋体" w:eastAsia="宋体" w:cs="Times New Roman"/>
          <w:bCs/>
          <w:color w:val="auto"/>
          <w:sz w:val="21"/>
          <w:szCs w:val="21"/>
          <w:highlight w:val="none"/>
          <w:lang w:val="en-US" w:eastAsia="zh-CN" w:bidi="ar-SA"/>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lang w:val="en-US" w:eastAsia="zh-CN"/>
        </w:rPr>
        <w:t xml:space="preserve">九</w:t>
      </w:r>
      <w:r>
        <w:rPr>
          <w:rFonts w:hint="eastAsia" w:ascii="黑体" w:hAnsi="宋体" w:eastAsia="黑体"/>
          <w:bCs/>
          <w:color w:val="auto"/>
          <w:sz w:val="28"/>
          <w:szCs w:val="28"/>
          <w:highlight w:val="none"/>
        </w:rPr>
        <w:t xml:space="preserve">、明细报价表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hint="eastAsia" w:ascii="黑体" w:hAnsi="黑体" w:eastAsia="黑体"/>
          <w:color w:val="auto"/>
          <w:sz w:val="28"/>
          <w:szCs w:val="28"/>
          <w:highlight w:val="none"/>
        </w:rPr>
      </w:pPr>
      <w:r/>
      <w:bookmarkStart w:id="293" w:name="OLE_LINK3"/>
      <w:r>
        <w:rPr>
          <w:rFonts w:hint="eastAsia" w:ascii="黑体" w:hAnsi="黑体" w:eastAsia="黑体"/>
          <w:color w:val="auto"/>
          <w:sz w:val="28"/>
          <w:szCs w:val="28"/>
          <w:highlight w:val="none"/>
        </w:rPr>
        <w:t xml:space="preserve">明细报价表</w:t>
      </w:r>
      <w:bookmarkEnd w:id="293"/>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学生课桌椅、教师办公桌椅、宿舍床等家具（第二批）采购项目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JSZC-320282-XDFH-G2026-0011</w:t>
      </w:r>
      <w:r/>
    </w:p>
    <w:tbl>
      <w:tblPr>
        <w:tblStyle w:val="892"/>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序号</w:t>
            </w:r>
            <w:r/>
          </w:p>
        </w:tc>
        <w:tc>
          <w:tcPr>
            <w:tcW w:w="1258"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标的名称</w:t>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品牌、型号</w:t>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生产厂家</w:t>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质保期</w:t>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单价</w:t>
            </w:r>
            <w:r/>
          </w:p>
          <w:p>
            <w:pPr>
              <w:jc w:val="center"/>
              <w:spacing w:before="5"/>
              <w:rPr>
                <w:rFonts w:hint="eastAsia"/>
                <w:color w:val="auto"/>
                <w:sz w:val="18"/>
                <w:highlight w:val="none"/>
              </w:rPr>
            </w:pPr>
            <w:r>
              <w:rPr>
                <w:rFonts w:hint="eastAsia"/>
                <w:color w:val="auto"/>
                <w:sz w:val="18"/>
                <w:highlight w:val="none"/>
              </w:rPr>
              <w:t xml:space="preserve">(元)</w:t>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合计报价</w:t>
            </w:r>
            <w:r/>
          </w:p>
          <w:p>
            <w:pPr>
              <w:jc w:val="center"/>
              <w:spacing w:before="5"/>
              <w:rPr>
                <w:rFonts w:hint="eastAsia"/>
                <w:color w:val="auto"/>
                <w:sz w:val="18"/>
                <w:highlight w:val="none"/>
              </w:rPr>
            </w:pPr>
            <w:r>
              <w:rPr>
                <w:rFonts w:hint="eastAsia"/>
                <w:color w:val="auto"/>
                <w:sz w:val="18"/>
                <w:highlight w:val="none"/>
              </w:rPr>
              <w:t xml:space="preserve">(元)</w:t>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产品类别</w:t>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1</w:t>
            </w:r>
            <w:r/>
          </w:p>
        </w:tc>
        <w:tc>
          <w:tcPr>
            <w:tcW w:w="1258" w:type="dxa"/>
            <w:vAlign w:val="center"/>
            <w:textDirection w:val="lrTb"/>
            <w:noWrap w:val="false"/>
          </w:tcPr>
          <w:p>
            <w:pPr>
              <w:pStyle w:val="895"/>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2</w:t>
            </w:r>
            <w:r/>
          </w:p>
        </w:tc>
        <w:tc>
          <w:tcPr>
            <w:tcW w:w="1258" w:type="dxa"/>
            <w:vAlign w:val="center"/>
            <w:textDirection w:val="lrTb"/>
            <w:noWrap w:val="false"/>
          </w:tcPr>
          <w:p>
            <w:pPr>
              <w:pStyle w:val="895"/>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w:t>
            </w:r>
            <w:r/>
          </w:p>
        </w:tc>
        <w:tc>
          <w:tcPr>
            <w:tcW w:w="1258" w:type="dxa"/>
            <w:vAlign w:val="center"/>
            <w:textDirection w:val="lrTb"/>
            <w:noWrap w:val="false"/>
          </w:tcPr>
          <w:p>
            <w:pPr>
              <w:pStyle w:val="895"/>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1910" w:type="dxa"/>
            <w:vAlign w:val="center"/>
            <w:textDirection w:val="lrTb"/>
            <w:noWrap w:val="false"/>
          </w:tcPr>
          <w:p>
            <w:pPr>
              <w:jc w:val="center"/>
              <w:spacing w:before="5"/>
              <w:rPr>
                <w:rFonts w:hint="eastAsia"/>
                <w:color w:val="auto"/>
                <w:sz w:val="24"/>
                <w:szCs w:val="24"/>
                <w:highlight w:val="none"/>
              </w:rPr>
            </w:pPr>
            <w:r/>
            <w:bookmarkStart w:id="294" w:name="OLE_LINK148"/>
            <w:r>
              <w:rPr>
                <w:rFonts w:hint="eastAsia"/>
                <w:b/>
                <w:bCs/>
                <w:color w:val="auto"/>
                <w:sz w:val="24"/>
                <w:szCs w:val="24"/>
                <w:highlight w:val="none"/>
              </w:rPr>
              <w:t xml:space="preserve">合计总价</w:t>
            </w:r>
            <w:r>
              <w:rPr>
                <w:rFonts w:hint="eastAsia" w:ascii="宋体" w:hAnsi="宋体"/>
                <w:color w:val="auto"/>
                <w:szCs w:val="21"/>
                <w:highlight w:val="none"/>
              </w:rPr>
              <w:t xml:space="preserve">(元)</w:t>
            </w:r>
            <w:r/>
          </w:p>
        </w:tc>
        <w:tc>
          <w:tcPr>
            <w:gridSpan w:val="10"/>
            <w:tcW w:w="786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7"/>
            <w:tcW w:w="6154" w:type="dxa"/>
            <w:vAlign w:val="center"/>
            <w:textDirection w:val="lrTb"/>
            <w:noWrap w:val="false"/>
          </w:tcPr>
          <w:p>
            <w:pPr>
              <w:jc w:val="center"/>
              <w:spacing w:before="5"/>
              <w:rPr>
                <w:rFonts w:ascii="宋体"/>
                <w:b/>
                <w:bCs/>
                <w:color w:val="auto"/>
                <w:sz w:val="24"/>
                <w:highlight w:val="none"/>
              </w:rPr>
            </w:pPr>
            <w:r>
              <w:rPr>
                <w:rFonts w:hint="eastAsia" w:ascii="宋体"/>
                <w:b/>
                <w:bCs/>
                <w:color w:val="auto"/>
                <w:sz w:val="24"/>
                <w:highlight w:val="none"/>
              </w:rPr>
              <w:t xml:space="preserve">其中属于符合本国产品标准的产品价格合计</w:t>
            </w:r>
            <w:r/>
          </w:p>
          <w:p>
            <w:pPr>
              <w:jc w:val="center"/>
              <w:spacing w:before="5"/>
              <w:rPr>
                <w:rFonts w:hint="eastAsia"/>
                <w:color w:val="auto"/>
                <w:sz w:val="18"/>
                <w:highlight w:val="none"/>
              </w:rPr>
            </w:pPr>
            <w:r>
              <w:rPr>
                <w:rFonts w:hint="eastAsia" w:ascii="宋体"/>
                <w:b/>
                <w:bCs/>
                <w:color w:val="auto"/>
                <w:sz w:val="24"/>
                <w:highlight w:val="none"/>
              </w:rPr>
              <w:t xml:space="preserve">（小写）</w:t>
            </w:r>
            <w:r>
              <w:rPr>
                <w:rFonts w:hint="eastAsia" w:ascii="宋体" w:hAnsi="宋体"/>
                <w:color w:val="auto"/>
                <w:szCs w:val="21"/>
                <w:highlight w:val="none"/>
              </w:rPr>
              <w:t xml:space="preserve">（元）</w:t>
            </w:r>
            <w:r/>
          </w:p>
        </w:tc>
        <w:tc>
          <w:tcPr>
            <w:gridSpan w:val="5"/>
            <w:tcW w:w="3617" w:type="dxa"/>
            <w:vAlign w:val="center"/>
            <w:textDirection w:val="lrTb"/>
            <w:noWrap w:val="false"/>
          </w:tcPr>
          <w:p>
            <w:pPr>
              <w:jc w:val="center"/>
              <w:spacing w:before="5"/>
              <w:rPr>
                <w:rFonts w:hint="eastAsia" w:ascii="宋体"/>
                <w:b/>
                <w:bCs/>
                <w:color w:val="auto"/>
                <w:sz w:val="24"/>
                <w:highlight w:val="none"/>
              </w:rPr>
            </w:pPr>
            <w:r>
              <w:rPr>
                <w:rFonts w:hint="eastAsia" w:ascii="宋体"/>
                <w:b/>
                <w:bCs/>
                <w:color w:val="auto"/>
                <w:sz w:val="24"/>
                <w:highlight w:val="none"/>
              </w:rPr>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szCs w:val="22"/>
                <w:highlight w:val="none"/>
              </w:rPr>
              <w:t xml:space="preserve">核心产品</w:t>
            </w:r>
            <w:r/>
          </w:p>
        </w:tc>
        <w:tc>
          <w:tcPr>
            <w:gridSpan w:val="2"/>
            <w:tcW w:w="275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c>
          <w:tcPr>
            <w:gridSpan w:val="3"/>
            <w:tcW w:w="1485"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序号：</w:t>
            </w:r>
            <w:r/>
          </w:p>
        </w:tc>
        <w:tc>
          <w:tcPr>
            <w:gridSpan w:val="5"/>
            <w:tcW w:w="3617"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完工期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t xml:space="preserve">合同签订后</w:t>
            </w:r>
            <w:r>
              <w:rPr>
                <w:rFonts w:hint="eastAsia" w:ascii="宋体"/>
                <w:b/>
                <w:bCs/>
                <w:color w:val="auto"/>
                <w:sz w:val="24"/>
                <w:highlight w:val="none"/>
                <w:u w:val="single"/>
              </w:rPr>
              <w:t xml:space="preserve">     </w:t>
            </w:r>
            <w:r>
              <w:rPr>
                <w:rFonts w:hint="eastAsia" w:ascii="宋体"/>
                <w:b/>
                <w:bCs/>
                <w:color w:val="auto"/>
                <w:sz w:val="24"/>
                <w:highlight w:val="none"/>
              </w:rPr>
              <w:t xml:space="preserve">日内到货并安装调试完成。</w:t>
            </w:r>
            <w:r/>
          </w:p>
        </w:tc>
      </w:tr>
      <w:tr>
        <w:trPr>
          <w:jc w:val="center"/>
          <w:trHeight w:val="1368"/>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项目整体质保期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2124"/>
        </w:trPr>
        <w:tc>
          <w:tcPr>
            <w:tcW w:w="652" w:type="dxa"/>
            <w:vAlign w:val="center"/>
            <w:vMerge w:val="restart"/>
            <w:textDirection w:val="lrTb"/>
            <w:noWrap w:val="false"/>
          </w:tcPr>
          <w:p>
            <w:pPr>
              <w:pStyle w:val="899"/>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899"/>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899"/>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rFonts w:hint="eastAsia"/>
                <w:color w:val="auto"/>
                <w:sz w:val="18"/>
                <w:highlight w:val="none"/>
              </w:rPr>
            </w:pPr>
            <w:r>
              <w:rPr>
                <w:rFonts w:hint="eastAsia" w:ascii="宋体" w:hAnsi="宋体"/>
                <w:b/>
                <w:bCs/>
                <w:color w:val="auto"/>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976"/>
        </w:trPr>
        <w:tc>
          <w:tcPr>
            <w:tcW w:w="652" w:type="dxa"/>
            <w:vAlign w:val="center"/>
            <w:vMerge w:val="continue"/>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11"/>
            <w:tcW w:w="9119"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rFonts w:hint="eastAsia"/>
                <w:color w:val="auto"/>
                <w:sz w:val="18"/>
                <w:highlight w:val="none"/>
              </w:rPr>
            </w:pPr>
            <w:r>
              <w:rPr>
                <w:rFonts w:hint="eastAsia" w:ascii="宋体" w:hAnsi="宋体"/>
                <w:bCs/>
                <w:color w:val="auto"/>
                <w:sz w:val="24"/>
                <w:szCs w:val="24"/>
                <w:highlight w:val="none"/>
              </w:rPr>
              <w:t xml:space="preserve">（以上是主要承诺，供投标人参考，投标人应在满足招标文件“第三章 项目技术要求和有关说明”要求的基础上，根据自己单位的情况作出具体承诺）</w:t>
            </w:r>
            <w:bookmarkEnd w:id="294"/>
            <w:r/>
            <w:r/>
          </w:p>
        </w:tc>
      </w:tr>
    </w:tbl>
    <w:p>
      <w:pPr>
        <w:ind w:left="5460" w:hanging="5460"/>
        <w:jc w:val="center"/>
        <w:spacing w:line="360" w:lineRule="auto"/>
        <w:rPr>
          <w:rFonts w:hint="eastAsia" w:ascii="宋体" w:hAnsi="宋体"/>
          <w:bCs/>
          <w:color w:val="auto"/>
          <w:sz w:val="24"/>
          <w:highlight w:val="none"/>
        </w:rPr>
      </w:pPr>
      <w:r/>
      <w:bookmarkStart w:id="295" w:name="_Toc14859"/>
      <w:r>
        <w:rPr>
          <w:rFonts w:hint="eastAsia" w:ascii="宋体" w:hAnsi="宋体"/>
          <w:bCs/>
          <w:color w:val="auto"/>
          <w:sz w:val="24"/>
          <w:highlight w:val="none"/>
        </w:rPr>
        <w:t xml:space="preserve">                               </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295"/>
      <w:r/>
      <w:bookmarkStart w:id="296" w:name="OLE_LINK149"/>
      <w:r>
        <w:rPr>
          <w:rFonts w:hint="eastAsia" w:ascii="宋体" w:hAnsi="宋体"/>
          <w:bCs/>
          <w:color w:val="auto"/>
          <w:sz w:val="24"/>
          <w:highlight w:val="none"/>
        </w:rPr>
        <w:t xml:space="preserve">                      投标人（电子签章）：</w:t>
      </w:r>
      <w:bookmarkEnd w:id="296"/>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97"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97"/>
      <w:r/>
      <w:r/>
    </w:p>
    <w:p>
      <w:pPr>
        <w:ind w:firstLine="421"/>
        <w:jc w:val="left"/>
        <w:spacing w:line="360" w:lineRule="auto"/>
        <w:rPr>
          <w:rFonts w:hint="eastAsia" w:ascii="宋体" w:hAnsi="宋体"/>
          <w:color w:val="auto"/>
          <w:szCs w:val="21"/>
          <w:highlight w:val="none"/>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en-US" w:eastAsia="zh-CN"/>
        </w:rPr>
        <w:t xml:space="preserve">对核心产品</w:t>
      </w:r>
      <w:r>
        <w:rPr>
          <w:rFonts w:hint="eastAsia" w:ascii="宋体" w:hAnsi="宋体"/>
          <w:color w:val="auto"/>
          <w:szCs w:val="21"/>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color w:val="auto"/>
          <w:szCs w:val="21"/>
          <w:highlight w:val="none"/>
        </w:rPr>
        <w:t xml:space="preserve">评审排名资格，其他同品牌投标人无评审排名资格。</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
          <w:bCs w:val="0"/>
          <w:color w:val="auto"/>
          <w:szCs w:val="21"/>
          <w:highlight w:val="none"/>
        </w:rPr>
        <w:t xml:space="preserve">政府采购政策：</w:t>
      </w:r>
      <w:r>
        <w:rPr>
          <w:rFonts w:hint="eastAsia" w:ascii="宋体" w:hAnsi="宋体"/>
          <w:color w:val="auto"/>
          <w:szCs w:val="21"/>
          <w:highlight w:val="none"/>
          <w:lang w:val="en-US" w:eastAsia="zh-CN"/>
        </w:rPr>
        <w:t xml:space="preserve">本项目若涉及“</w:t>
      </w:r>
      <w:r>
        <w:rPr>
          <w:rFonts w:hint="eastAsia" w:ascii="宋体" w:hAnsi="宋体"/>
          <w:color w:val="auto"/>
          <w:szCs w:val="21"/>
          <w:highlight w:val="none"/>
          <w:lang w:val="zh-CN"/>
        </w:rPr>
        <w:t xml:space="preserve">强制采购节能产品、信息安全产品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en-US" w:eastAsia="zh-CN"/>
        </w:rPr>
        <w:t xml:space="preserve">”或“</w:t>
      </w:r>
      <w:r>
        <w:rPr>
          <w:rFonts w:hint="eastAsia" w:ascii="宋体" w:hAnsi="宋体"/>
          <w:color w:val="auto"/>
          <w:szCs w:val="21"/>
          <w:highlight w:val="none"/>
          <w:lang w:val="zh-CN"/>
        </w:rPr>
        <w:t xml:space="preserve">优先采购节能产品、环境标志产品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en-US" w:eastAsia="zh-CN"/>
        </w:rPr>
        <w:t xml:space="preserve">”以及“</w:t>
      </w:r>
      <w:r>
        <w:rPr>
          <w:rFonts w:hint="eastAsia" w:ascii="宋体" w:hAnsi="宋体"/>
          <w:color w:val="auto"/>
          <w:szCs w:val="21"/>
          <w:highlight w:val="none"/>
          <w:lang w:val="zh-CN"/>
        </w:rPr>
        <w:t xml:space="preserve">若符合本项目小微企业报价扣除优惠政策（</w:t>
      </w:r>
      <w:r>
        <w:rPr>
          <w:rFonts w:hint="eastAsia" w:ascii="宋体" w:hAnsi="宋体"/>
          <w:color w:val="auto"/>
          <w:szCs w:val="21"/>
          <w:highlight w:val="none"/>
          <w:lang w:val="en-US" w:eastAsia="zh-CN"/>
        </w:rPr>
        <w:t xml:space="preserve">含</w:t>
      </w:r>
      <w:r>
        <w:rPr>
          <w:rFonts w:hint="eastAsia" w:ascii="宋体" w:hAnsi="宋体"/>
          <w:bCs/>
          <w:color w:val="auto"/>
          <w:szCs w:val="21"/>
          <w:highlight w:val="none"/>
          <w:lang w:val="zh-CN"/>
        </w:rPr>
        <w:t xml:space="preserve">小微企业产品、残疾人福利性单位产品、监狱企业产品</w:t>
      </w:r>
      <w:r>
        <w:rPr>
          <w:rFonts w:hint="eastAsia" w:ascii="宋体" w:hAnsi="宋体"/>
          <w:color w:val="auto"/>
          <w:szCs w:val="21"/>
          <w:highlight w:val="none"/>
          <w:lang w:val="zh-CN"/>
        </w:rPr>
        <w:t xml:space="preserve">）</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1"/>
          <w:szCs w:val="21"/>
          <w:highlight w:val="none"/>
          <w:vertAlign w:val="baseline"/>
          <w:lang w:val="en-US" w:eastAsia="zh-CN"/>
        </w:rPr>
        <w:t xml:space="preserve">的</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投标人应在</w:t>
      </w:r>
      <w:r>
        <w:rPr>
          <w:rFonts w:hint="eastAsia" w:ascii="宋体" w:hAnsi="宋体"/>
          <w:color w:val="auto"/>
          <w:szCs w:val="21"/>
          <w:highlight w:val="none"/>
          <w:lang w:val="zh-CN"/>
        </w:rPr>
        <w:t xml:space="preserve">“产品类别”一栏中填入</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强制采购产品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优先采购产品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或“小微企业产品</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8"/>
          <w:szCs w:val="28"/>
          <w:highlight w:val="none"/>
          <w:vertAlign w:val="baseline"/>
          <w:lang w:val="en-US" w:eastAsia="zh-CN"/>
        </w:rPr>
        <w:t xml:space="preserve">；</w:t>
      </w:r>
      <w:r>
        <w:rPr>
          <w:rFonts w:hint="eastAsia" w:ascii="宋体" w:hAnsi="宋体"/>
          <w:bCs/>
          <w:color w:val="auto"/>
          <w:szCs w:val="21"/>
          <w:highlight w:val="none"/>
        </w:rPr>
        <w:t xml:space="preserve">若不</w:t>
      </w:r>
      <w:r>
        <w:rPr>
          <w:rFonts w:hint="eastAsia" w:ascii="宋体" w:hAnsi="宋体"/>
          <w:bCs/>
          <w:color w:val="auto"/>
          <w:szCs w:val="21"/>
          <w:highlight w:val="none"/>
          <w:lang w:val="en-US" w:eastAsia="zh-CN"/>
        </w:rPr>
        <w:t xml:space="preserve">涉及</w:t>
      </w:r>
      <w:r>
        <w:rPr>
          <w:rFonts w:hint="eastAsia" w:ascii="宋体" w:hAnsi="宋体"/>
          <w:bCs/>
          <w:color w:val="auto"/>
          <w:szCs w:val="21"/>
          <w:highlight w:val="none"/>
        </w:rPr>
        <w:t xml:space="preserve">政府采购政策的，无需填写“产品类别”。</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十、</w:t>
      </w:r>
      <w:r>
        <w:rPr>
          <w:rFonts w:hint="eastAsia" w:ascii="黑体" w:hAnsi="黑体" w:eastAsia="黑体"/>
          <w:color w:val="auto"/>
          <w:sz w:val="28"/>
          <w:szCs w:val="28"/>
          <w:highlight w:val="none"/>
        </w:rPr>
        <w:t xml:space="preserve">投标函（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ind w:firstLine="482"/>
        <w:rPr>
          <w:rFonts w:ascii="宋体"/>
          <w:b/>
          <w:bCs/>
          <w:color w:val="auto"/>
          <w:sz w:val="24"/>
          <w:szCs w:val="24"/>
          <w:highlight w:val="none"/>
        </w:rPr>
      </w:pPr>
      <w:r>
        <w:rPr>
          <w:rFonts w:ascii="宋体"/>
          <w:b/>
          <w:bCs/>
          <w:color w:val="auto"/>
          <w:sz w:val="24"/>
          <w:szCs w:val="24"/>
          <w:highlight w:val="none"/>
        </w:rPr>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致江苏省宜兴第一中学周铁分校、江苏希地丰华项目管理集团有限公司：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（项目编号：JSZC-320282-XDFH-G2026-0011）</w:t>
      </w:r>
      <w:r>
        <w:rPr>
          <w:rFonts w:hint="eastAsia" w:ascii="宋体" w:hAnsi="宋体"/>
          <w:bCs/>
          <w:color w:val="auto"/>
          <w:sz w:val="24"/>
          <w:highlight w:val="none"/>
          <w:lang w:val="zh-CN"/>
        </w:rPr>
        <w:t xml:space="preserve">招标文件，经仔细阅读和研究，我方决定参加投标。</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298" w:name="_Hlk160091632"/>
      <w:r>
        <w:rPr>
          <w:rFonts w:hint="eastAsia" w:ascii="宋体" w:hAnsi="宋体"/>
          <w:bCs/>
          <w:color w:val="auto"/>
          <w:sz w:val="24"/>
          <w:highlight w:val="none"/>
          <w:lang w:val="zh-CN"/>
        </w:rPr>
        <w:t xml:space="preserve">产品</w:t>
      </w:r>
      <w:bookmarkEnd w:id="298"/>
      <w:r>
        <w:rPr>
          <w:rFonts w:hint="eastAsia" w:ascii="宋体" w:hAnsi="宋体"/>
          <w:bCs/>
          <w:color w:val="auto"/>
          <w:sz w:val="24"/>
          <w:highlight w:val="none"/>
          <w:lang w:val="zh-CN"/>
        </w:rPr>
        <w:t xml:space="preserve">，投标总价详见《开标一览表》。</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299" w:name="_Hlk160091917"/>
      <w:r>
        <w:rPr>
          <w:rFonts w:hint="eastAsia" w:ascii="宋体" w:hAnsi="宋体"/>
          <w:bCs/>
          <w:color w:val="auto"/>
          <w:sz w:val="24"/>
          <w:highlight w:val="none"/>
          <w:lang w:val="zh-CN"/>
        </w:rPr>
        <w:t xml:space="preserve">产品的技术参数</w:t>
      </w:r>
      <w:bookmarkEnd w:id="299"/>
      <w:r>
        <w:rPr>
          <w:rFonts w:hint="eastAsia" w:ascii="宋体" w:hAnsi="宋体"/>
          <w:bCs/>
          <w:color w:val="auto"/>
          <w:sz w:val="24"/>
          <w:highlight w:val="none"/>
          <w:lang w:val="zh-CN"/>
        </w:rPr>
        <w:t xml:space="preserve">，详见《</w:t>
      </w:r>
      <w:bookmarkStart w:id="300" w:name="_Hlk160091504"/>
      <w:r>
        <w:rPr>
          <w:rFonts w:hint="eastAsia" w:ascii="宋体" w:hAnsi="宋体"/>
          <w:bCs/>
          <w:color w:val="auto"/>
          <w:sz w:val="24"/>
          <w:highlight w:val="none"/>
          <w:lang w:val="zh-CN"/>
        </w:rPr>
        <w:t xml:space="preserve">项目技术要求偏离表</w:t>
      </w:r>
      <w:bookmarkEnd w:id="300"/>
      <w:r>
        <w:rPr>
          <w:rFonts w:hint="eastAsia" w:ascii="宋体" w:hAnsi="宋体"/>
          <w:bCs/>
          <w:color w:val="auto"/>
          <w:sz w:val="24"/>
          <w:highlight w:val="none"/>
          <w:lang w:val="zh-CN"/>
        </w:rPr>
        <w:t xml:space="preserve">》。</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lang w:val="en-US" w:eastAsia="zh-CN"/>
        </w:rPr>
        <w:t xml:space="preserve">90</w:t>
      </w:r>
      <w:r>
        <w:rPr>
          <w:rFonts w:hint="eastAsia" w:ascii="宋体" w:hAnsi="宋体"/>
          <w:bCs/>
          <w:color w:val="auto"/>
          <w:sz w:val="24"/>
          <w:highlight w:val="none"/>
          <w:lang w:val="zh-CN"/>
        </w:rPr>
        <w:t xml:space="preserve">天（含投标当日），在特殊情况下，可与贵方协商延长投标文件的有效期。</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lang w:val="en-US" w:eastAsia="zh-CN"/>
        </w:rPr>
        <w:t xml:space="preserve">要求</w:t>
      </w:r>
      <w:r>
        <w:rPr>
          <w:rFonts w:hint="eastAsia" w:ascii="宋体" w:hAnsi="宋体"/>
          <w:bCs/>
          <w:color w:val="auto"/>
          <w:sz w:val="24"/>
          <w:highlight w:val="none"/>
          <w:lang w:val="zh-CN"/>
        </w:rPr>
        <w:t xml:space="preserve">交纳履约保证金。</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92"/>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5"/>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892"/>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481"/>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 w:val="24"/>
          <w:highlight w:val="none"/>
        </w:rPr>
        <w:br w:type="page" w:clear="all"/>
      </w:r>
      <w:bookmarkStart w:id="301" w:name="_Hlk151710206"/>
      <w:r/>
      <w:bookmarkEnd w:id="301"/>
      <w:r/>
      <w:r/>
    </w:p>
    <w:p>
      <w:pPr>
        <w:spacing w:line="360" w:lineRule="auto"/>
        <w:rPr>
          <w:rFonts w:hint="eastAsia"/>
          <w:b/>
          <w:color w:val="auto"/>
          <w:sz w:val="28"/>
          <w:szCs w:val="28"/>
          <w:highlight w:val="none"/>
        </w:rPr>
      </w:pPr>
      <w:r>
        <w:rPr>
          <w:rFonts w:ascii="宋体" w:hAnsi="宋体"/>
          <w:bCs/>
          <w:color w:val="auto"/>
          <w:szCs w:val="21"/>
          <w:highlight w:val="none"/>
        </w:rPr>
        <w:t xml:space="preserve">  </w:t>
      </w:r>
      <w:r>
        <w:rPr>
          <w:rFonts w:hint="eastAsia"/>
          <w:b/>
          <w:color w:val="auto"/>
          <w:sz w:val="28"/>
          <w:szCs w:val="28"/>
          <w:highlight w:val="none"/>
          <w:lang w:val="en-US" w:eastAsia="zh-CN"/>
        </w:rPr>
        <w:t xml:space="preserve">十一、</w:t>
      </w:r>
      <w:r>
        <w:rPr>
          <w:rFonts w:hint="eastAsia"/>
          <w:b/>
          <w:color w:val="auto"/>
          <w:sz w:val="28"/>
          <w:szCs w:val="28"/>
          <w:highlight w:val="none"/>
        </w:rPr>
        <w:t xml:space="preserve">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highlight w:val="none"/>
          <w:lang w:val="zh-CN"/>
        </w:rPr>
        <w:t xml:space="preserve">JSZC-320282-XDFH-G2026-0011</w:t>
      </w:r>
      <w:r>
        <w:rPr>
          <w:rFonts w:hint="eastAsia" w:ascii="宋体" w:hAnsi="宋体"/>
          <w:color w:val="auto"/>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6.本项目中如有涉及</w:t>
      </w:r>
      <w:r>
        <w:rPr>
          <w:rFonts w:hint="eastAsia" w:ascii="宋体" w:hAnsi="宋体"/>
          <w:bCs/>
          <w:color w:val="auto"/>
          <w:sz w:val="24"/>
          <w:highlight w:val="none"/>
          <w:lang w:val="zh-CN"/>
        </w:rPr>
        <w:t xml:space="preserve">木家具</w:t>
      </w:r>
      <w:r>
        <w:rPr>
          <w:rFonts w:hint="eastAsia" w:ascii="宋体" w:hAnsi="宋体"/>
          <w:bCs/>
          <w:color w:val="auto"/>
          <w:sz w:val="24"/>
          <w:highlight w:val="none"/>
          <w:lang w:val="zh-CN" w:eastAsia="zh-CN"/>
        </w:rPr>
        <w:t xml:space="preserve">的，</w:t>
      </w:r>
      <w:r>
        <w:rPr>
          <w:rFonts w:hint="eastAsia" w:ascii="宋体" w:hAnsi="宋体"/>
          <w:bCs/>
          <w:color w:val="auto"/>
          <w:sz w:val="24"/>
          <w:highlight w:val="none"/>
          <w:lang w:val="zh-CN"/>
        </w:rPr>
        <w:t xml:space="preserve">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val="en-US" w:eastAsia="zh-CN"/>
        </w:rPr>
        <w:br w:type="page" w:clear="all"/>
      </w:r>
      <w:r/>
    </w:p>
    <w:p>
      <w:pPr>
        <w:rPr>
          <w:rFonts w:hint="eastAsia" w:ascii="黑体" w:hAnsi="宋体" w:eastAsia="黑体"/>
          <w:bCs/>
          <w:color w:val="auto"/>
          <w:sz w:val="24"/>
          <w:szCs w:val="24"/>
          <w:highlight w:val="none"/>
          <w:lang w:val="zh-CN"/>
        </w:rPr>
      </w:pPr>
      <w:r>
        <w:rPr>
          <w:rFonts w:hint="eastAsia" w:ascii="黑体" w:hAnsi="宋体" w:eastAsia="黑体"/>
          <w:bCs/>
          <w:color w:val="auto"/>
          <w:sz w:val="28"/>
          <w:szCs w:val="28"/>
          <w:highlight w:val="none"/>
          <w:lang w:val="en-US" w:eastAsia="zh-CN"/>
        </w:rPr>
        <w:t xml:space="preserve">十二、</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学生课桌椅、教师办公桌椅、宿舍床等家具（第二批）采购项目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JSZC-320282-XDFH-G2026-0011</w:t>
      </w:r>
      <w:r>
        <w:rPr>
          <w:rFonts w:hint="eastAsia" w:ascii="宋体" w:hAnsi="宋体"/>
          <w:color w:val="auto"/>
          <w:sz w:val="24"/>
          <w:szCs w:val="21"/>
          <w:highlight w:val="none"/>
          <w:lang w:val="zh-CN"/>
        </w:rPr>
        <w:t xml:space="preserve"> </w:t>
      </w:r>
      <w:r/>
    </w:p>
    <w:tbl>
      <w:tblPr>
        <w:tblStyle w:val="892"/>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val="zh-CN"/>
        </w:rPr>
        <w:t xml:space="preserve">）“正偏离”指投标人提供的货物（服务）响应情况优于招标文件要求；“负偏离”指投标人提供的货物（服务）响应情况劣于招标文件要求。</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420"/>
        <w:jc w:val="left"/>
        <w:spacing w:line="560" w:lineRule="exact"/>
        <w:rPr>
          <w:rFonts w:ascii="宋体" w:hAnsi="宋体"/>
          <w:bCs/>
          <w:color w:val="auto"/>
          <w:szCs w:val="21"/>
          <w:highlight w:val="none"/>
        </w:rPr>
      </w:pPr>
      <w:r>
        <w:rPr>
          <w:rFonts w:ascii="宋体" w:hAnsi="宋体"/>
          <w:bCs/>
          <w:color w:val="auto"/>
          <w:szCs w:val="21"/>
          <w:highlight w:val="none"/>
        </w:rPr>
        <w:t xml:space="preserve"> </w:t>
      </w:r>
      <w:r/>
    </w:p>
    <w:p>
      <w:pPr>
        <w:pStyle w:val="893"/>
        <w:rPr>
          <w:rFonts w:ascii="宋体" w:hAnsi="宋体"/>
          <w:bCs/>
          <w:color w:val="auto"/>
          <w:szCs w:val="21"/>
          <w:highlight w:val="none"/>
        </w:rPr>
      </w:pPr>
      <w:r>
        <w:rPr>
          <w:rFonts w:ascii="宋体" w:hAnsi="宋体"/>
          <w:bCs/>
          <w:color w:val="auto"/>
          <w:szCs w:val="21"/>
          <w:highlight w:val="none"/>
        </w:rPr>
      </w:r>
      <w:r/>
    </w:p>
    <w:p>
      <w:pPr>
        <w:rPr>
          <w:rFonts w:ascii="宋体" w:hAnsi="宋体"/>
          <w:bCs/>
          <w:color w:val="auto"/>
          <w:szCs w:val="21"/>
          <w:highlight w:val="none"/>
        </w:rPr>
      </w:pPr>
      <w:r>
        <w:rPr>
          <w:rFonts w:ascii="宋体" w:hAnsi="宋体"/>
          <w:bCs/>
          <w:color w:val="auto"/>
          <w:szCs w:val="21"/>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三</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02" w:name="_Toc12913"/>
      <w:r/>
      <w:bookmarkStart w:id="303" w:name="_Toc25956"/>
      <w:r/>
      <w:bookmarkStart w:id="304" w:name="_Toc5448"/>
      <w:r/>
      <w:bookmarkStart w:id="305" w:name="_Toc28455"/>
      <w:r/>
      <w:bookmarkStart w:id="306" w:name="_Toc32471"/>
      <w:r/>
      <w:bookmarkStart w:id="307" w:name="_Toc4470"/>
      <w:r/>
      <w:bookmarkStart w:id="308" w:name="_Toc17535"/>
      <w:r/>
      <w:bookmarkStart w:id="309" w:name="_Toc7906"/>
      <w:r>
        <w:rPr>
          <w:rFonts w:hint="eastAsia" w:ascii="黑体" w:hAnsi="黑体" w:eastAsia="黑体"/>
          <w:color w:val="auto"/>
          <w:sz w:val="28"/>
          <w:szCs w:val="21"/>
          <w:highlight w:val="none"/>
          <w:lang w:val="zh-CN"/>
        </w:rPr>
        <w:t xml:space="preserve">技术商务部分评分导读表</w:t>
      </w:r>
      <w:bookmarkEnd w:id="302"/>
      <w:r/>
      <w:bookmarkEnd w:id="303"/>
      <w:r/>
      <w:bookmarkEnd w:id="304"/>
      <w:r/>
      <w:bookmarkEnd w:id="305"/>
      <w:r/>
      <w:bookmarkEnd w:id="306"/>
      <w:r/>
      <w:bookmarkEnd w:id="307"/>
      <w:r/>
      <w:bookmarkEnd w:id="308"/>
      <w:r/>
      <w:bookmarkEnd w:id="309"/>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学生课桌椅、教师办公桌椅、宿舍床等家具（第二批）采购项目</w:t>
      </w:r>
      <w:r>
        <w:rPr>
          <w:rFonts w:hint="eastAsia" w:ascii="宋体" w:hAnsi="宋体"/>
          <w:color w:val="auto"/>
          <w:sz w:val="24"/>
          <w:szCs w:val="24"/>
          <w:highlight w:val="none"/>
        </w:rPr>
        <w:t xml:space="preserve"> </w:t>
      </w:r>
      <w:r/>
    </w:p>
    <w:p>
      <w:pPr>
        <w:spacing w:after="156"/>
        <w:rPr>
          <w:rFonts w:hint="eastAsia" w:ascii="黑体" w:hAnsi="黑体" w:eastAsia="黑体"/>
          <w:color w:val="auto"/>
          <w:sz w:val="28"/>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JSZC-320282-XDFH-G2026-0011</w:t>
      </w:r>
      <w:r>
        <w:rPr>
          <w:rFonts w:hint="eastAsia" w:ascii="宋体" w:hAnsi="宋体"/>
          <w:color w:val="auto"/>
          <w:sz w:val="24"/>
          <w:szCs w:val="21"/>
          <w:highlight w:val="none"/>
          <w:lang w:val="zh-CN"/>
        </w:rPr>
        <w:t xml:space="preserve"> </w:t>
      </w:r>
      <w:r/>
    </w:p>
    <w:tbl>
      <w:tblPr>
        <w:tblStyle w:val="892"/>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20"/>
        <w:rPr>
          <w:rFonts w:ascii="宋体" w:hAnsi="宋体"/>
          <w:color w:val="auto"/>
          <w:highlight w:val="none"/>
        </w:rPr>
      </w:pPr>
      <w:r>
        <w:rPr>
          <w:rFonts w:ascii="宋体" w:hAnsi="宋体"/>
          <w:color w:val="auto"/>
          <w:highlight w:val="none"/>
        </w:rPr>
      </w:r>
      <w:r/>
    </w:p>
    <w:p>
      <w:pPr>
        <w:pStyle w:val="893"/>
        <w:rPr>
          <w:rFonts w:hint="eastAsia"/>
          <w:color w:val="auto"/>
          <w:highlight w:val="none"/>
        </w:rPr>
      </w:pPr>
      <w:r>
        <w:rPr>
          <w:rFonts w:hint="eastAsia"/>
          <w:color w:val="auto"/>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1"/>
  </w:num>
  <w:num w:numId="3">
    <w:abstractNumId w:val="10"/>
  </w:num>
  <w:num w:numId="4">
    <w:abstractNumId w:val="9"/>
  </w:num>
  <w:num w:numId="5">
    <w:abstractNumId w:val="3"/>
  </w:num>
  <w:num w:numId="6">
    <w:abstractNumId w:val="2"/>
  </w:num>
  <w:num w:numId="7">
    <w:abstractNumId w:val="5"/>
  </w:num>
  <w:num w:numId="8">
    <w:abstractNumId w:val="7"/>
  </w:num>
  <w:num w:numId="9">
    <w:abstractNumId w:val="13"/>
  </w:num>
  <w:num w:numId="10">
    <w:abstractNumId w:val="6"/>
  </w:num>
  <w:num w:numId="11">
    <w:abstractNumId w:val="14"/>
  </w:num>
  <w:num w:numId="12">
    <w:abstractNumId w:val="0"/>
  </w:num>
  <w:num w:numId="13">
    <w:abstractNumId w:val="1"/>
  </w:num>
  <w:num w:numId="14">
    <w:abstractNumId w:val="1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91"/>
    <w:link w:val="888"/>
    <w:uiPriority w:val="9"/>
    <w:rPr>
      <w:rFonts w:ascii="Arial" w:hAnsi="Arial" w:eastAsia="Arial" w:cs="Arial"/>
      <w:sz w:val="40"/>
      <w:szCs w:val="40"/>
    </w:rPr>
  </w:style>
  <w:style w:type="character" w:styleId="719">
    <w:name w:val="Heading 2 Char"/>
    <w:basedOn w:val="891"/>
    <w:link w:val="889"/>
    <w:uiPriority w:val="9"/>
    <w:rPr>
      <w:rFonts w:ascii="Arial" w:hAnsi="Arial" w:eastAsia="Arial" w:cs="Arial"/>
      <w:sz w:val="34"/>
    </w:rPr>
  </w:style>
  <w:style w:type="paragraph" w:styleId="720">
    <w:name w:val="Heading 3"/>
    <w:basedOn w:val="887"/>
    <w:next w:val="887"/>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basedOn w:val="891"/>
    <w:link w:val="720"/>
    <w:uiPriority w:val="9"/>
    <w:rPr>
      <w:rFonts w:ascii="Arial" w:hAnsi="Arial" w:eastAsia="Arial" w:cs="Arial"/>
      <w:sz w:val="30"/>
      <w:szCs w:val="30"/>
    </w:rPr>
  </w:style>
  <w:style w:type="character" w:styleId="722">
    <w:name w:val="Heading 4 Char"/>
    <w:basedOn w:val="891"/>
    <w:link w:val="890"/>
    <w:uiPriority w:val="9"/>
    <w:rPr>
      <w:rFonts w:ascii="Arial" w:hAnsi="Arial" w:eastAsia="Arial" w:cs="Arial"/>
      <w:b/>
      <w:bCs/>
      <w:sz w:val="26"/>
      <w:szCs w:val="26"/>
    </w:rPr>
  </w:style>
  <w:style w:type="paragraph" w:styleId="723">
    <w:name w:val="Heading 5"/>
    <w:basedOn w:val="887"/>
    <w:next w:val="887"/>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91"/>
    <w:link w:val="723"/>
    <w:uiPriority w:val="9"/>
    <w:rPr>
      <w:rFonts w:ascii="Arial" w:hAnsi="Arial" w:eastAsia="Arial" w:cs="Arial"/>
      <w:b/>
      <w:bCs/>
      <w:sz w:val="24"/>
      <w:szCs w:val="24"/>
    </w:rPr>
  </w:style>
  <w:style w:type="paragraph" w:styleId="725">
    <w:name w:val="Heading 6"/>
    <w:basedOn w:val="887"/>
    <w:next w:val="887"/>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91"/>
    <w:link w:val="725"/>
    <w:uiPriority w:val="9"/>
    <w:rPr>
      <w:rFonts w:ascii="Arial" w:hAnsi="Arial" w:eastAsia="Arial" w:cs="Arial"/>
      <w:b/>
      <w:bCs/>
      <w:sz w:val="22"/>
      <w:szCs w:val="22"/>
    </w:rPr>
  </w:style>
  <w:style w:type="paragraph" w:styleId="727">
    <w:name w:val="Heading 7"/>
    <w:basedOn w:val="887"/>
    <w:next w:val="887"/>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91"/>
    <w:link w:val="727"/>
    <w:uiPriority w:val="9"/>
    <w:rPr>
      <w:rFonts w:ascii="Arial" w:hAnsi="Arial" w:eastAsia="Arial" w:cs="Arial"/>
      <w:b/>
      <w:bCs/>
      <w:i/>
      <w:iCs/>
      <w:sz w:val="22"/>
      <w:szCs w:val="22"/>
    </w:rPr>
  </w:style>
  <w:style w:type="paragraph" w:styleId="729">
    <w:name w:val="Heading 8"/>
    <w:basedOn w:val="887"/>
    <w:next w:val="887"/>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91"/>
    <w:link w:val="729"/>
    <w:uiPriority w:val="9"/>
    <w:rPr>
      <w:rFonts w:ascii="Arial" w:hAnsi="Arial" w:eastAsia="Arial" w:cs="Arial"/>
      <w:i/>
      <w:iCs/>
      <w:sz w:val="22"/>
      <w:szCs w:val="22"/>
    </w:rPr>
  </w:style>
  <w:style w:type="paragraph" w:styleId="731">
    <w:name w:val="Heading 9"/>
    <w:basedOn w:val="887"/>
    <w:next w:val="887"/>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91"/>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paragraph" w:styleId="734">
    <w:name w:val="Title"/>
    <w:basedOn w:val="887"/>
    <w:next w:val="887"/>
    <w:link w:val="735"/>
    <w:uiPriority w:val="10"/>
    <w:qFormat/>
    <w:pPr>
      <w:contextualSpacing/>
      <w:spacing w:before="300" w:after="200"/>
    </w:pPr>
    <w:rPr>
      <w:sz w:val="48"/>
      <w:szCs w:val="48"/>
    </w:rPr>
  </w:style>
  <w:style w:type="character" w:styleId="735">
    <w:name w:val="Title Char"/>
    <w:basedOn w:val="891"/>
    <w:link w:val="734"/>
    <w:uiPriority w:val="10"/>
    <w:rPr>
      <w:sz w:val="48"/>
      <w:szCs w:val="48"/>
    </w:rPr>
  </w:style>
  <w:style w:type="paragraph" w:styleId="736">
    <w:name w:val="Subtitle"/>
    <w:basedOn w:val="887"/>
    <w:next w:val="887"/>
    <w:link w:val="737"/>
    <w:uiPriority w:val="11"/>
    <w:qFormat/>
    <w:pPr>
      <w:spacing w:before="200" w:after="200"/>
    </w:pPr>
    <w:rPr>
      <w:sz w:val="24"/>
      <w:szCs w:val="24"/>
    </w:rPr>
  </w:style>
  <w:style w:type="character" w:styleId="737">
    <w:name w:val="Subtitle Char"/>
    <w:basedOn w:val="891"/>
    <w:link w:val="736"/>
    <w:uiPriority w:val="11"/>
    <w:rPr>
      <w:sz w:val="24"/>
      <w:szCs w:val="24"/>
    </w:rPr>
  </w:style>
  <w:style w:type="paragraph" w:styleId="738">
    <w:name w:val="Quote"/>
    <w:basedOn w:val="887"/>
    <w:next w:val="887"/>
    <w:link w:val="739"/>
    <w:uiPriority w:val="29"/>
    <w:qFormat/>
    <w:pPr>
      <w:ind w:left="720" w:right="720"/>
    </w:pPr>
    <w:rPr>
      <w:i/>
    </w:rPr>
  </w:style>
  <w:style w:type="character" w:styleId="739">
    <w:name w:val="Quote Char"/>
    <w:link w:val="738"/>
    <w:uiPriority w:val="29"/>
    <w:rPr>
      <w:i/>
    </w:rPr>
  </w:style>
  <w:style w:type="paragraph" w:styleId="740">
    <w:name w:val="Intense Quote"/>
    <w:basedOn w:val="887"/>
    <w:next w:val="887"/>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91"/>
    <w:link w:val="897"/>
    <w:uiPriority w:val="99"/>
  </w:style>
  <w:style w:type="character" w:styleId="743">
    <w:name w:val="Footer Char"/>
    <w:basedOn w:val="891"/>
    <w:link w:val="896"/>
    <w:uiPriority w:val="99"/>
  </w:style>
  <w:style w:type="paragraph" w:styleId="744">
    <w:name w:val="Caption"/>
    <w:basedOn w:val="887"/>
    <w:next w:val="887"/>
    <w:uiPriority w:val="35"/>
    <w:semiHidden/>
    <w:unhideWhenUsed/>
    <w:qFormat/>
    <w:pPr>
      <w:spacing w:line="276" w:lineRule="auto"/>
    </w:pPr>
    <w:rPr>
      <w:b/>
      <w:bCs/>
      <w:color w:val="4f81bd" w:themeColor="accent1"/>
      <w:sz w:val="18"/>
      <w:szCs w:val="18"/>
    </w:rPr>
  </w:style>
  <w:style w:type="character" w:styleId="745">
    <w:name w:val="Caption Char"/>
    <w:basedOn w:val="744"/>
    <w:link w:val="896"/>
    <w:uiPriority w:val="99"/>
  </w:style>
  <w:style w:type="table" w:styleId="746">
    <w:name w:val="Table Grid Light"/>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basedOn w:val="8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basedOn w:val="8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basedOn w:val="8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basedOn w:val="8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basedOn w:val="8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basedOn w:val="8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basedOn w:val="8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basedOn w:val="8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basedOn w:val="8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basedOn w:val="8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basedOn w:val="8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basedOn w:val="8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basedOn w:val="8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basedOn w:val="8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basedOn w:val="8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basedOn w:val="8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basedOn w:val="8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basedOn w:val="8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basedOn w:val="8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basedOn w:val="8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basedOn w:val="8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basedOn w:val="8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basedOn w:val="8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1">
    <w:name w:val="footnote text"/>
    <w:basedOn w:val="887"/>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basedOn w:val="891"/>
    <w:uiPriority w:val="99"/>
    <w:unhideWhenUsed/>
    <w:rPr>
      <w:vertAlign w:val="superscript"/>
    </w:rPr>
  </w:style>
  <w:style w:type="paragraph" w:styleId="874">
    <w:name w:val="endnote text"/>
    <w:basedOn w:val="887"/>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91"/>
    <w:uiPriority w:val="99"/>
    <w:semiHidden/>
    <w:unhideWhenUsed/>
    <w:rPr>
      <w:vertAlign w:val="superscript"/>
    </w:r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3"/>
    <w:uiPriority w:val="0"/>
    <w:qFormat/>
    <w:pPr>
      <w:jc w:val="both"/>
      <w:widowControl w:val="off"/>
    </w:pPr>
    <w:rPr>
      <w:rFonts w:ascii="Times New Roman" w:hAnsi="Times New Roman" w:eastAsia="宋体" w:cs="Times New Roman"/>
      <w:sz w:val="21"/>
      <w:lang w:val="en-US" w:eastAsia="zh-CN" w:bidi="ar-SA"/>
    </w:rPr>
  </w:style>
  <w:style w:type="paragraph" w:styleId="888">
    <w:name w:val="Heading 1"/>
    <w:basedOn w:val="887"/>
    <w:next w:val="887"/>
    <w:link w:val="911"/>
    <w:uiPriority w:val="0"/>
    <w:qFormat/>
    <w:pPr>
      <w:keepLines/>
      <w:keepNext/>
      <w:spacing w:before="340" w:after="330" w:line="578" w:lineRule="auto"/>
      <w:outlineLvl w:val="0"/>
    </w:pPr>
    <w:rPr>
      <w:b/>
      <w:bCs/>
      <w:sz w:val="44"/>
      <w:szCs w:val="44"/>
    </w:rPr>
  </w:style>
  <w:style w:type="paragraph" w:styleId="889">
    <w:name w:val="Heading 2"/>
    <w:basedOn w:val="887"/>
    <w:next w:val="887"/>
    <w:link w:val="912"/>
    <w:uiPriority w:val="0"/>
    <w:qFormat/>
    <w:pPr>
      <w:keepLines/>
      <w:keepNext/>
      <w:spacing w:before="260" w:beforeAutospacing="0" w:after="260" w:afterAutospacing="0" w:line="413" w:lineRule="auto"/>
      <w:outlineLvl w:val="1"/>
    </w:pPr>
    <w:rPr>
      <w:rFonts w:ascii="Arial" w:hAnsi="Arial" w:eastAsia="黑体"/>
      <w:b/>
      <w:sz w:val="32"/>
    </w:rPr>
  </w:style>
  <w:style w:type="paragraph" w:styleId="890">
    <w:name w:val="Heading 4"/>
    <w:basedOn w:val="887"/>
    <w:next w:val="887"/>
    <w:uiPriority w:val="0"/>
    <w:qFormat/>
    <w:pPr>
      <w:keepLines/>
      <w:keepNext/>
      <w:spacing w:before="280" w:beforeAutospacing="0" w:after="290" w:afterAutospacing="0" w:line="372" w:lineRule="auto"/>
      <w:outlineLvl w:val="3"/>
    </w:pPr>
    <w:rPr>
      <w:rFonts w:ascii="Arial" w:hAnsi="Arial" w:eastAsia="黑体"/>
      <w:b/>
      <w:sz w:val="28"/>
    </w:rPr>
  </w:style>
  <w:style w:type="character" w:styleId="891" w:default="1">
    <w:name w:val="Default Paragraph Font"/>
    <w:uiPriority w:val="0"/>
    <w:semiHidden/>
    <w:qFormat/>
  </w:style>
  <w:style w:type="table" w:styleId="892" w:default="1">
    <w:name w:val="Normal Table"/>
    <w:uiPriority w:val="0"/>
    <w:semiHidden/>
    <w:qFormat/>
    <w:tblPr>
      <w:tblCellMar>
        <w:left w:w="108" w:type="dxa"/>
        <w:top w:w="0" w:type="dxa"/>
        <w:right w:w="108" w:type="dxa"/>
        <w:bottom w:w="0" w:type="dxa"/>
      </w:tblCellMar>
    </w:tblPr>
  </w:style>
  <w:style w:type="paragraph" w:styleId="893">
    <w:name w:val="Body Text"/>
    <w:basedOn w:val="887"/>
    <w:next w:val="887"/>
    <w:link w:val="913"/>
    <w:uiPriority w:val="0"/>
    <w:qFormat/>
    <w:rPr>
      <w:rFonts w:cs="Times New Roman"/>
      <w:sz w:val="20"/>
      <w:szCs w:val="20"/>
    </w:rPr>
  </w:style>
  <w:style w:type="paragraph" w:styleId="894">
    <w:name w:val="annotation text"/>
    <w:basedOn w:val="887"/>
    <w:uiPriority w:val="0"/>
    <w:qFormat/>
    <w:pPr>
      <w:jc w:val="left"/>
    </w:pPr>
  </w:style>
  <w:style w:type="paragraph" w:styleId="895">
    <w:name w:val="Plain Text"/>
    <w:basedOn w:val="887"/>
    <w:uiPriority w:val="0"/>
    <w:qFormat/>
    <w:rPr>
      <w:rFonts w:ascii="宋体" w:hAnsi="Courier New"/>
    </w:rPr>
  </w:style>
  <w:style w:type="paragraph" w:styleId="896">
    <w:name w:val="Footer"/>
    <w:basedOn w:val="887"/>
    <w:link w:val="914"/>
    <w:uiPriority w:val="99"/>
    <w:qFormat/>
    <w:pPr>
      <w:jc w:val="left"/>
      <w:tabs>
        <w:tab w:val="center" w:pos="4153" w:leader="none"/>
        <w:tab w:val="right" w:pos="8306" w:leader="none"/>
      </w:tabs>
    </w:pPr>
    <w:rPr>
      <w:sz w:val="18"/>
    </w:rPr>
  </w:style>
  <w:style w:type="paragraph" w:styleId="897">
    <w:name w:val="Header"/>
    <w:basedOn w:val="88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898">
    <w:name w:val="toc 1"/>
    <w:basedOn w:val="887"/>
    <w:next w:val="887"/>
    <w:uiPriority w:val="39"/>
    <w:qFormat/>
  </w:style>
  <w:style w:type="paragraph" w:styleId="899">
    <w:name w:val="Body Text 2"/>
    <w:basedOn w:val="887"/>
    <w:uiPriority w:val="0"/>
    <w:qFormat/>
    <w:pPr>
      <w:spacing w:after="120" w:line="480" w:lineRule="auto"/>
    </w:pPr>
    <w:rPr>
      <w:rFonts w:cs="Times New Roman"/>
      <w:sz w:val="20"/>
      <w:szCs w:val="20"/>
    </w:rPr>
  </w:style>
  <w:style w:type="paragraph" w:styleId="900">
    <w:name w:val="Normal (Web)"/>
    <w:basedOn w:val="887"/>
    <w:uiPriority w:val="99"/>
    <w:qFormat/>
    <w:pPr>
      <w:ind w:left="0" w:right="0"/>
      <w:jc w:val="left"/>
      <w:spacing w:before="100" w:beforeAutospacing="1" w:after="100" w:afterAutospacing="1"/>
    </w:pPr>
    <w:rPr>
      <w:sz w:val="24"/>
      <w:lang w:val="en-US" w:eastAsia="zh-CN" w:bidi="ar"/>
    </w:rPr>
  </w:style>
  <w:style w:type="paragraph" w:styleId="901">
    <w:name w:val="Body Text First Indent"/>
    <w:basedOn w:val="893"/>
    <w:uiPriority w:val="0"/>
    <w:qFormat/>
    <w:pPr>
      <w:ind w:firstLine="420"/>
      <w:spacing w:after="120"/>
      <w:tabs>
        <w:tab w:val="left" w:pos="2020" w:leader="none"/>
        <w:tab w:val="center" w:pos="4535" w:leader="none"/>
      </w:tabs>
    </w:pPr>
    <w:rPr>
      <w:rFonts w:ascii="Times New Roman"/>
      <w:sz w:val="21"/>
    </w:rPr>
  </w:style>
  <w:style w:type="table" w:styleId="902">
    <w:name w:val="Table Grid"/>
    <w:basedOn w:val="89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FollowedHyperlink"/>
    <w:uiPriority w:val="0"/>
    <w:qFormat/>
    <w:rPr>
      <w:color w:val="auto"/>
      <w:u w:val="none"/>
    </w:rPr>
  </w:style>
  <w:style w:type="character" w:styleId="904">
    <w:name w:val="Emphasis"/>
    <w:uiPriority w:val="20"/>
    <w:qFormat/>
    <w:rPr>
      <w:i/>
      <w:iCs/>
    </w:rPr>
  </w:style>
  <w:style w:type="character" w:styleId="905">
    <w:name w:val="Hyperlink"/>
    <w:uiPriority w:val="99"/>
    <w:unhideWhenUsed/>
    <w:qFormat/>
    <w:rPr>
      <w:color w:val="0563c1"/>
      <w:u w:val="single"/>
    </w:rPr>
  </w:style>
  <w:style w:type="paragraph" w:styleId="906" w:customStyle="1">
    <w:name w:val="普通文字"/>
    <w:basedOn w:val="887"/>
    <w:next w:val="887"/>
    <w:uiPriority w:val="0"/>
    <w:qFormat/>
    <w:rPr>
      <w:rFonts w:ascii="宋体"/>
      <w:sz w:val="24"/>
      <w:u w:val="none"/>
    </w:rPr>
  </w:style>
  <w:style w:type="paragraph" w:styleId="907" w:customStyle="1">
    <w:name w:val="正文缩进1"/>
    <w:basedOn w:val="887"/>
    <w:uiPriority w:val="0"/>
    <w:qFormat/>
    <w:pPr>
      <w:ind w:firstLine="420"/>
      <w:jc w:val="left"/>
    </w:pPr>
    <w:rPr>
      <w:rFonts w:ascii="宋体" w:hAnsi="Calibri" w:eastAsia="宋体" w:cs="Times New Roman"/>
      <w:sz w:val="24"/>
      <w:szCs w:val="22"/>
    </w:rPr>
  </w:style>
  <w:style w:type="paragraph" w:styleId="908" w:customStyle="1">
    <w:name w:val="索引 11"/>
    <w:basedOn w:val="887"/>
    <w:next w:val="887"/>
    <w:uiPriority w:val="0"/>
    <w:qFormat/>
    <w:pPr>
      <w:spacing w:line="360" w:lineRule="auto"/>
    </w:pPr>
    <w:rPr>
      <w:rFonts w:ascii="仿宋_GB2312" w:eastAsia="仿宋_GB2312"/>
      <w:sz w:val="24"/>
      <w:szCs w:val="20"/>
    </w:rPr>
  </w:style>
  <w:style w:type="paragraph" w:styleId="909" w:customStyle="1">
    <w:name w:val="纯文本1"/>
    <w:basedOn w:val="887"/>
    <w:uiPriority w:val="0"/>
    <w:qFormat/>
    <w:rPr>
      <w:rFonts w:ascii="宋体" w:hAnsi="Courier New" w:eastAsia="宋体" w:cs="Times New Roman"/>
      <w:szCs w:val="22"/>
    </w:rPr>
  </w:style>
  <w:style w:type="paragraph" w:styleId="910">
    <w:name w:val="List Paragraph"/>
    <w:basedOn w:val="887"/>
    <w:uiPriority w:val="1"/>
    <w:qFormat/>
    <w:pPr>
      <w:ind w:firstLine="420"/>
    </w:pPr>
    <w:rPr>
      <w:sz w:val="21"/>
    </w:rPr>
  </w:style>
  <w:style w:type="character" w:styleId="911" w:customStyle="1">
    <w:name w:val="标题 1 字符"/>
    <w:link w:val="888"/>
    <w:uiPriority w:val="0"/>
    <w:qFormat/>
    <w:rPr>
      <w:rFonts w:ascii="Times New Roman" w:hAnsi="Times New Roman"/>
      <w:b/>
      <w:bCs/>
      <w:sz w:val="44"/>
      <w:szCs w:val="44"/>
    </w:rPr>
  </w:style>
  <w:style w:type="character" w:styleId="912" w:customStyle="1">
    <w:name w:val="标题 2 字符"/>
    <w:link w:val="889"/>
    <w:uiPriority w:val="0"/>
    <w:qFormat/>
    <w:rPr>
      <w:rFonts w:ascii="Arial" w:hAnsi="Arial" w:eastAsia="黑体"/>
      <w:b/>
      <w:sz w:val="32"/>
    </w:rPr>
  </w:style>
  <w:style w:type="character" w:styleId="913" w:customStyle="1">
    <w:name w:val="正文文本 字符"/>
    <w:link w:val="893"/>
    <w:uiPriority w:val="0"/>
    <w:qFormat/>
    <w:rPr>
      <w:rFonts w:ascii="Times New Roman" w:hAnsi="Times New Roman"/>
    </w:rPr>
  </w:style>
  <w:style w:type="character" w:styleId="914" w:customStyle="1">
    <w:name w:val="页脚 字符"/>
    <w:link w:val="896"/>
    <w:uiPriority w:val="99"/>
    <w:qFormat/>
    <w:rPr>
      <w:rFonts w:ascii="Times New Roman" w:hAnsi="Times New Roman"/>
      <w:sz w:val="18"/>
    </w:rPr>
  </w:style>
  <w:style w:type="paragraph" w:styleId="915" w:customStyle="1">
    <w:name w:val="普通正文"/>
    <w:basedOn w:val="887"/>
    <w:uiPriority w:val="0"/>
    <w:qFormat/>
    <w:pPr>
      <w:ind w:firstLine="480"/>
      <w:jc w:val="left"/>
      <w:spacing w:before="120" w:after="120" w:line="360" w:lineRule="auto"/>
    </w:pPr>
    <w:rPr>
      <w:rFonts w:ascii="Arial" w:hAnsi="Arial"/>
      <w:sz w:val="24"/>
      <w:szCs w:val="24"/>
    </w:rPr>
  </w:style>
  <w:style w:type="paragraph" w:styleId="916" w:customStyle="1">
    <w:name w:val="BodyText1I2"/>
    <w:basedOn w:val="917"/>
    <w:next w:val="919"/>
    <w:uiPriority w:val="0"/>
    <w:qFormat/>
    <w:pPr>
      <w:ind w:left="420" w:firstLine="420"/>
      <w:spacing w:after="120"/>
    </w:pPr>
  </w:style>
  <w:style w:type="paragraph" w:styleId="917" w:customStyle="1">
    <w:name w:val="BodyTextIndent"/>
    <w:basedOn w:val="887"/>
    <w:next w:val="918"/>
    <w:uiPriority w:val="0"/>
    <w:qFormat/>
    <w:pPr>
      <w:ind w:firstLine="900"/>
    </w:pPr>
    <w:rPr>
      <w:sz w:val="28"/>
    </w:rPr>
  </w:style>
  <w:style w:type="paragraph" w:styleId="918" w:customStyle="1">
    <w:name w:val="NormalIndent"/>
    <w:basedOn w:val="887"/>
    <w:next w:val="917"/>
    <w:uiPriority w:val="0"/>
    <w:qFormat/>
    <w:pPr>
      <w:ind w:firstLine="420"/>
    </w:pPr>
  </w:style>
  <w:style w:type="paragraph" w:styleId="919" w:customStyle="1">
    <w:name w:val="UserStyle_14"/>
    <w:basedOn w:val="887"/>
    <w:next w:val="887"/>
    <w:uiPriority w:val="0"/>
    <w:qFormat/>
    <w:pPr>
      <w:jc w:val="center"/>
      <w:spacing w:before="280" w:after="280" w:line="100" w:lineRule="exact"/>
    </w:pPr>
    <w:rPr>
      <w:b/>
      <w:sz w:val="20"/>
    </w:rPr>
  </w:style>
  <w:style w:type="paragraph" w:styleId="920" w:customStyle="1">
    <w:name w:val="Default"/>
    <w:uiPriority w:val="0"/>
    <w:qFormat/>
    <w:pPr>
      <w:widowControl w:val="off"/>
    </w:pPr>
    <w:rPr>
      <w:rFonts w:ascii="宋体" w:hAnsi="Calibri" w:eastAsia="宋体" w:cs="宋体"/>
      <w:color w:val="000000"/>
      <w:sz w:val="24"/>
      <w:szCs w:val="24"/>
      <w:lang w:val="en-US" w:eastAsia="zh-CN" w:bidi="ar-SA"/>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毛蓉</cp:lastModifiedBy>
  <cp:revision>501</cp:revision>
  <dcterms:created xsi:type="dcterms:W3CDTF">2022-12-23T01:29:00Z</dcterms:created>
  <dcterms:modified xsi:type="dcterms:W3CDTF">2026-06-04T02:48:16Z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eyJoZGlkIjoiZmFmN2MxMWJjYjNhNTJhZWYxNzI5MGY5MDM3ZDZhN2QiLCJ1c2VySWQiOiI4MDQ4NzA3NDQifQ==</vt:lpwstr>
  </property>
</Properties>
</file>